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B3DA6" w14:textId="6364F678" w:rsidR="002E73EC" w:rsidRPr="00B32542" w:rsidRDefault="00902F62" w:rsidP="00EB0179">
      <w:pPr>
        <w:spacing w:before="120" w:after="120"/>
        <w:rPr>
          <w:b/>
          <w:lang w:val="en-GB"/>
        </w:rPr>
      </w:pPr>
      <w:r w:rsidRPr="00B32542">
        <w:rPr>
          <w:b/>
          <w:noProof/>
          <w:lang w:val="pl-PL" w:eastAsia="pl-PL"/>
        </w:rPr>
        <w:drawing>
          <wp:inline distT="0" distB="0" distL="0" distR="0" wp14:anchorId="1E65A236" wp14:editId="53CDB3D7">
            <wp:extent cx="1187450" cy="467064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46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179" w:rsidRPr="00B32542">
        <w:rPr>
          <w:b/>
          <w:lang w:val="en-GB"/>
        </w:rPr>
        <w:tab/>
      </w:r>
      <w:r w:rsidR="00EB0179" w:rsidRPr="00B32542">
        <w:rPr>
          <w:b/>
          <w:lang w:val="en-GB"/>
        </w:rPr>
        <w:tab/>
      </w:r>
      <w:r w:rsidR="00EB0179" w:rsidRPr="00B32542">
        <w:rPr>
          <w:b/>
          <w:lang w:val="en-GB"/>
        </w:rPr>
        <w:tab/>
      </w:r>
      <w:r w:rsidR="00EB0179" w:rsidRPr="00B32542">
        <w:rPr>
          <w:b/>
          <w:lang w:val="en-GB"/>
        </w:rPr>
        <w:tab/>
      </w:r>
      <w:r w:rsidR="00EB0179" w:rsidRPr="00B32542">
        <w:rPr>
          <w:b/>
          <w:lang w:val="en-GB"/>
        </w:rPr>
        <w:tab/>
      </w:r>
      <w:r w:rsidR="00EB0179" w:rsidRPr="00B32542">
        <w:rPr>
          <w:b/>
          <w:lang w:val="en-GB"/>
        </w:rPr>
        <w:tab/>
      </w:r>
      <w:r w:rsidR="00EB0179" w:rsidRPr="00B32542">
        <w:rPr>
          <w:b/>
          <w:lang w:val="en-GB"/>
        </w:rPr>
        <w:tab/>
      </w:r>
      <w:r w:rsidR="00EB0179" w:rsidRPr="00B32542">
        <w:rPr>
          <w:b/>
          <w:lang w:val="en-GB"/>
        </w:rPr>
        <w:tab/>
      </w:r>
      <w:r w:rsidR="007937A0" w:rsidRPr="00B32542">
        <w:rPr>
          <w:b/>
          <w:lang w:val="en-GB"/>
        </w:rPr>
        <w:tab/>
      </w:r>
      <w:r w:rsidR="007937A0" w:rsidRPr="00B32542">
        <w:rPr>
          <w:b/>
          <w:lang w:val="en-GB"/>
        </w:rPr>
        <w:tab/>
      </w:r>
      <w:r w:rsidR="007937A0" w:rsidRPr="00B32542">
        <w:rPr>
          <w:b/>
          <w:lang w:val="en-GB"/>
        </w:rPr>
        <w:tab/>
      </w:r>
      <w:r w:rsidR="007937A0" w:rsidRPr="00B32542">
        <w:rPr>
          <w:b/>
          <w:lang w:val="en-GB"/>
        </w:rPr>
        <w:tab/>
      </w:r>
      <w:r w:rsidR="007937A0" w:rsidRPr="00B32542">
        <w:rPr>
          <w:b/>
          <w:lang w:val="en-GB"/>
        </w:rPr>
        <w:tab/>
      </w:r>
      <w:r w:rsidR="007937A0" w:rsidRPr="00B32542">
        <w:rPr>
          <w:b/>
          <w:lang w:val="en-GB"/>
        </w:rPr>
        <w:tab/>
      </w:r>
      <w:r w:rsidR="007937A0" w:rsidRPr="00B32542">
        <w:rPr>
          <w:b/>
          <w:lang w:val="en-GB"/>
        </w:rPr>
        <w:tab/>
      </w:r>
      <w:r w:rsidR="007937A0" w:rsidRPr="00B32542">
        <w:rPr>
          <w:b/>
          <w:lang w:val="en-GB"/>
        </w:rPr>
        <w:tab/>
      </w:r>
      <w:r w:rsidR="00EB0179" w:rsidRPr="00B32542">
        <w:rPr>
          <w:b/>
          <w:noProof/>
          <w:lang w:val="pl-PL" w:eastAsia="pl-PL"/>
        </w:rPr>
        <w:drawing>
          <wp:inline distT="0" distB="0" distL="0" distR="0" wp14:anchorId="7F11B971" wp14:editId="1BB03C0E">
            <wp:extent cx="690880" cy="787423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y piano logo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215" cy="78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903F6" w14:textId="77777777" w:rsidR="002E73EC" w:rsidRPr="00B32542" w:rsidRDefault="002E73EC" w:rsidP="00322FA2">
      <w:pPr>
        <w:spacing w:before="120" w:after="120"/>
        <w:rPr>
          <w:b/>
          <w:lang w:val="en-GB"/>
        </w:rPr>
      </w:pPr>
    </w:p>
    <w:p w14:paraId="18B9DB79" w14:textId="77777777" w:rsidR="002E73EC" w:rsidRPr="00B32542" w:rsidRDefault="002E73EC" w:rsidP="00322FA2">
      <w:pPr>
        <w:spacing w:before="120" w:after="120"/>
        <w:rPr>
          <w:b/>
          <w:lang w:val="en-GB"/>
        </w:rPr>
      </w:pPr>
    </w:p>
    <w:p w14:paraId="2D256209" w14:textId="77777777" w:rsidR="002E73EC" w:rsidRPr="00B32542" w:rsidRDefault="002E73EC" w:rsidP="00322FA2">
      <w:pPr>
        <w:spacing w:before="120" w:after="120"/>
        <w:rPr>
          <w:b/>
          <w:lang w:val="en-GB"/>
        </w:rPr>
      </w:pPr>
    </w:p>
    <w:p w14:paraId="0E2ECC23" w14:textId="77777777" w:rsidR="002E73EC" w:rsidRPr="00B32542" w:rsidRDefault="002E73EC" w:rsidP="00322FA2">
      <w:pPr>
        <w:spacing w:before="120" w:after="120"/>
        <w:rPr>
          <w:b/>
          <w:lang w:val="en-GB"/>
        </w:rPr>
      </w:pPr>
    </w:p>
    <w:p w14:paraId="345A1E87" w14:textId="77777777" w:rsidR="002E73EC" w:rsidRPr="00B32542" w:rsidRDefault="002E73EC" w:rsidP="00322FA2">
      <w:pPr>
        <w:spacing w:before="120" w:after="120"/>
        <w:rPr>
          <w:b/>
          <w:lang w:val="en-GB"/>
        </w:rPr>
      </w:pPr>
    </w:p>
    <w:p w14:paraId="0051E349" w14:textId="77777777" w:rsidR="002E73EC" w:rsidRPr="00B32542" w:rsidRDefault="002E73EC" w:rsidP="00322FA2">
      <w:pPr>
        <w:spacing w:before="120" w:after="120"/>
        <w:rPr>
          <w:b/>
          <w:lang w:val="en-GB"/>
        </w:rPr>
      </w:pPr>
    </w:p>
    <w:p w14:paraId="60890A82" w14:textId="77777777" w:rsidR="002E73EC" w:rsidRPr="00B32542" w:rsidRDefault="002E73EC" w:rsidP="00322FA2">
      <w:pPr>
        <w:spacing w:before="120" w:after="120"/>
        <w:rPr>
          <w:b/>
          <w:lang w:val="en-GB"/>
        </w:rPr>
      </w:pPr>
    </w:p>
    <w:p w14:paraId="046516C4" w14:textId="77777777" w:rsidR="002E73EC" w:rsidRPr="00B32542" w:rsidRDefault="002E73EC" w:rsidP="00322FA2">
      <w:pPr>
        <w:spacing w:before="120" w:after="120"/>
        <w:rPr>
          <w:b/>
          <w:lang w:val="en-GB"/>
        </w:rPr>
      </w:pPr>
    </w:p>
    <w:p w14:paraId="35271088" w14:textId="77777777" w:rsidR="002E73EC" w:rsidRPr="00B32542" w:rsidRDefault="002E73EC" w:rsidP="00322FA2">
      <w:pPr>
        <w:spacing w:before="120" w:after="120"/>
        <w:rPr>
          <w:b/>
          <w:lang w:val="en-GB"/>
        </w:rPr>
      </w:pPr>
    </w:p>
    <w:p w14:paraId="36B1F524" w14:textId="4F20F17E" w:rsidR="002E73EC" w:rsidRPr="00B32542" w:rsidRDefault="008F7478" w:rsidP="00322FA2">
      <w:pPr>
        <w:spacing w:before="120" w:after="120"/>
        <w:rPr>
          <w:b/>
          <w:sz w:val="36"/>
          <w:szCs w:val="36"/>
          <w:lang w:val="en-GB"/>
        </w:rPr>
      </w:pPr>
      <w:proofErr w:type="spellStart"/>
      <w:r w:rsidRPr="00B32542">
        <w:rPr>
          <w:b/>
          <w:sz w:val="36"/>
          <w:szCs w:val="36"/>
          <w:lang w:val="en-GB"/>
        </w:rPr>
        <w:t>PremiumLight</w:t>
      </w:r>
      <w:proofErr w:type="spellEnd"/>
      <w:r w:rsidR="00B52D1B" w:rsidRPr="00B32542">
        <w:rPr>
          <w:b/>
          <w:sz w:val="36"/>
          <w:szCs w:val="36"/>
          <w:lang w:val="en-GB"/>
        </w:rPr>
        <w:t>-Pro</w:t>
      </w:r>
      <w:r w:rsidRPr="00B32542">
        <w:rPr>
          <w:b/>
          <w:sz w:val="36"/>
          <w:szCs w:val="36"/>
          <w:lang w:val="en-GB"/>
        </w:rPr>
        <w:t xml:space="preserve"> Procurement Criteria </w:t>
      </w:r>
      <w:r w:rsidR="00A144EA">
        <w:rPr>
          <w:b/>
          <w:sz w:val="36"/>
          <w:szCs w:val="36"/>
          <w:lang w:val="en-GB"/>
        </w:rPr>
        <w:t>for Indoor Lighting</w:t>
      </w:r>
    </w:p>
    <w:p w14:paraId="52FC94AA" w14:textId="77777777" w:rsidR="00EB0179" w:rsidRPr="00B32542" w:rsidRDefault="00EB0179" w:rsidP="00322FA2">
      <w:pPr>
        <w:spacing w:before="120" w:after="120"/>
        <w:rPr>
          <w:sz w:val="36"/>
          <w:szCs w:val="36"/>
          <w:lang w:val="en-GB"/>
        </w:rPr>
      </w:pPr>
    </w:p>
    <w:p w14:paraId="3EE024B6" w14:textId="77777777" w:rsidR="00EB0179" w:rsidRPr="00B32542" w:rsidRDefault="00EB0179" w:rsidP="00322FA2">
      <w:pPr>
        <w:spacing w:before="120" w:after="120"/>
        <w:rPr>
          <w:sz w:val="36"/>
          <w:szCs w:val="36"/>
          <w:lang w:val="en-GB"/>
        </w:rPr>
      </w:pPr>
    </w:p>
    <w:p w14:paraId="45C9DE98" w14:textId="4D355701" w:rsidR="002E73EC" w:rsidRPr="00B32542" w:rsidRDefault="008F7478" w:rsidP="00322FA2">
      <w:pPr>
        <w:spacing w:before="120" w:after="120"/>
        <w:rPr>
          <w:b/>
          <w:sz w:val="36"/>
          <w:szCs w:val="36"/>
          <w:lang w:val="en-GB"/>
        </w:rPr>
      </w:pPr>
      <w:r w:rsidRPr="00B32542">
        <w:rPr>
          <w:b/>
          <w:sz w:val="36"/>
          <w:szCs w:val="36"/>
          <w:lang w:val="en-GB"/>
        </w:rPr>
        <w:t>DRAFT V</w:t>
      </w:r>
      <w:r w:rsidR="00EF54B1">
        <w:rPr>
          <w:b/>
          <w:sz w:val="36"/>
          <w:szCs w:val="36"/>
          <w:lang w:val="en-GB"/>
        </w:rPr>
        <w:t>ersion 5</w:t>
      </w:r>
    </w:p>
    <w:p w14:paraId="6C6D4003" w14:textId="77777777" w:rsidR="002E73EC" w:rsidRPr="00B32542" w:rsidRDefault="002E73EC" w:rsidP="00322FA2">
      <w:pPr>
        <w:spacing w:before="120" w:after="120"/>
        <w:rPr>
          <w:lang w:val="en-GB"/>
        </w:rPr>
      </w:pPr>
    </w:p>
    <w:p w14:paraId="363DA847" w14:textId="441E07E0" w:rsidR="002E73EC" w:rsidRPr="00B32542" w:rsidRDefault="00A144EA" w:rsidP="00322FA2">
      <w:pPr>
        <w:spacing w:before="120" w:after="120"/>
        <w:rPr>
          <w:lang w:val="en-GB"/>
        </w:rPr>
      </w:pPr>
      <w:r>
        <w:rPr>
          <w:lang w:val="en-GB"/>
        </w:rPr>
        <w:t>07</w:t>
      </w:r>
      <w:r w:rsidR="00271F80" w:rsidRPr="00B32542">
        <w:rPr>
          <w:lang w:val="en-GB"/>
        </w:rPr>
        <w:t xml:space="preserve">. </w:t>
      </w:r>
      <w:r w:rsidR="00C8500A">
        <w:rPr>
          <w:lang w:val="en-GB"/>
        </w:rPr>
        <w:t>January 2017</w:t>
      </w:r>
    </w:p>
    <w:p w14:paraId="766D88ED" w14:textId="77777777" w:rsidR="002E73EC" w:rsidRPr="00B32542" w:rsidRDefault="002E73EC" w:rsidP="00322FA2">
      <w:pPr>
        <w:spacing w:before="120" w:after="120"/>
        <w:rPr>
          <w:lang w:val="en-GB"/>
        </w:rPr>
      </w:pPr>
    </w:p>
    <w:p w14:paraId="1245E4FB" w14:textId="08F2948B" w:rsidR="002E73EC" w:rsidRPr="00B32542" w:rsidRDefault="002E73EC" w:rsidP="00322FA2">
      <w:pPr>
        <w:spacing w:before="120" w:after="120"/>
        <w:rPr>
          <w:b/>
          <w:sz w:val="28"/>
          <w:szCs w:val="28"/>
          <w:lang w:val="en-GB"/>
        </w:rPr>
      </w:pPr>
      <w:r w:rsidRPr="00B32542">
        <w:rPr>
          <w:b/>
          <w:sz w:val="28"/>
          <w:szCs w:val="28"/>
          <w:lang w:val="en-GB"/>
        </w:rPr>
        <w:lastRenderedPageBreak/>
        <w:t xml:space="preserve">Purpose of </w:t>
      </w:r>
      <w:proofErr w:type="spellStart"/>
      <w:r w:rsidR="00CF5B7A" w:rsidRPr="00B32542">
        <w:rPr>
          <w:b/>
          <w:sz w:val="28"/>
          <w:szCs w:val="28"/>
          <w:lang w:val="en-GB"/>
        </w:rPr>
        <w:t>PremiumLight</w:t>
      </w:r>
      <w:proofErr w:type="spellEnd"/>
      <w:r w:rsidR="00B52D1B" w:rsidRPr="00B32542">
        <w:rPr>
          <w:b/>
          <w:sz w:val="28"/>
          <w:szCs w:val="28"/>
          <w:lang w:val="en-GB"/>
        </w:rPr>
        <w:t>-Pro</w:t>
      </w:r>
      <w:r w:rsidR="00CF5B7A" w:rsidRPr="00B32542">
        <w:rPr>
          <w:b/>
          <w:sz w:val="28"/>
          <w:szCs w:val="28"/>
          <w:lang w:val="en-GB"/>
        </w:rPr>
        <w:t xml:space="preserve"> </w:t>
      </w:r>
      <w:r w:rsidR="00701310" w:rsidRPr="00B32542">
        <w:rPr>
          <w:b/>
          <w:sz w:val="28"/>
          <w:szCs w:val="28"/>
          <w:lang w:val="en-GB"/>
        </w:rPr>
        <w:t xml:space="preserve">Procurement Criteria for </w:t>
      </w:r>
      <w:r w:rsidR="00075988" w:rsidRPr="00B32542">
        <w:rPr>
          <w:b/>
          <w:sz w:val="28"/>
          <w:szCs w:val="28"/>
          <w:lang w:val="en-GB"/>
        </w:rPr>
        <w:t xml:space="preserve">Indoor </w:t>
      </w:r>
      <w:r w:rsidR="00701310" w:rsidRPr="00B32542">
        <w:rPr>
          <w:b/>
          <w:sz w:val="28"/>
          <w:szCs w:val="28"/>
          <w:lang w:val="en-GB"/>
        </w:rPr>
        <w:t>Lighting</w:t>
      </w:r>
      <w:r w:rsidR="001151A8" w:rsidRPr="00B32542">
        <w:rPr>
          <w:b/>
          <w:sz w:val="28"/>
          <w:szCs w:val="28"/>
          <w:lang w:val="en-GB"/>
        </w:rPr>
        <w:t xml:space="preserve"> with</w:t>
      </w:r>
      <w:r w:rsidR="0030123A" w:rsidRPr="00B32542">
        <w:rPr>
          <w:b/>
          <w:sz w:val="28"/>
          <w:szCs w:val="28"/>
          <w:lang w:val="en-GB"/>
        </w:rPr>
        <w:t>in</w:t>
      </w:r>
      <w:r w:rsidR="001151A8" w:rsidRPr="00B32542">
        <w:rPr>
          <w:b/>
          <w:sz w:val="28"/>
          <w:szCs w:val="28"/>
          <w:lang w:val="en-GB"/>
        </w:rPr>
        <w:t xml:space="preserve"> the service sector</w:t>
      </w:r>
    </w:p>
    <w:p w14:paraId="39720AA9" w14:textId="3292EA4E" w:rsidR="00701310" w:rsidRPr="00B32542" w:rsidRDefault="00701310" w:rsidP="002B0396">
      <w:pPr>
        <w:spacing w:after="120" w:line="240" w:lineRule="auto"/>
        <w:rPr>
          <w:rFonts w:ascii="Times New Roman" w:hAnsi="Times New Roman"/>
          <w:lang w:val="en-GB"/>
        </w:rPr>
      </w:pPr>
      <w:r w:rsidRPr="00B32542">
        <w:rPr>
          <w:rFonts w:ascii="Times New Roman" w:hAnsi="Times New Roman"/>
          <w:lang w:val="en-GB"/>
        </w:rPr>
        <w:t xml:space="preserve">LED lighting technology development is </w:t>
      </w:r>
      <w:proofErr w:type="spellStart"/>
      <w:r w:rsidRPr="00B32542">
        <w:rPr>
          <w:rFonts w:ascii="Times New Roman" w:hAnsi="Times New Roman"/>
          <w:lang w:val="en-GB"/>
        </w:rPr>
        <w:t>ongoing</w:t>
      </w:r>
      <w:proofErr w:type="spellEnd"/>
      <w:r w:rsidRPr="00B32542">
        <w:rPr>
          <w:rFonts w:ascii="Times New Roman" w:hAnsi="Times New Roman"/>
          <w:lang w:val="en-GB"/>
        </w:rPr>
        <w:t xml:space="preserve"> </w:t>
      </w:r>
      <w:r w:rsidR="0085541C" w:rsidRPr="00B32542">
        <w:rPr>
          <w:rFonts w:ascii="Times New Roman" w:hAnsi="Times New Roman"/>
          <w:lang w:val="en-GB"/>
        </w:rPr>
        <w:t xml:space="preserve">at </w:t>
      </w:r>
      <w:r w:rsidRPr="00B32542">
        <w:rPr>
          <w:rFonts w:ascii="Times New Roman" w:hAnsi="Times New Roman"/>
          <w:lang w:val="en-GB"/>
        </w:rPr>
        <w:t xml:space="preserve">very high speed and models </w:t>
      </w:r>
      <w:r w:rsidR="0085541C" w:rsidRPr="00B32542">
        <w:rPr>
          <w:rFonts w:ascii="Times New Roman" w:hAnsi="Times New Roman"/>
          <w:lang w:val="en-GB"/>
        </w:rPr>
        <w:t xml:space="preserve">on </w:t>
      </w:r>
      <w:r w:rsidRPr="00B32542">
        <w:rPr>
          <w:rFonts w:ascii="Times New Roman" w:hAnsi="Times New Roman"/>
          <w:lang w:val="en-GB"/>
        </w:rPr>
        <w:t xml:space="preserve">the market are typically </w:t>
      </w:r>
      <w:r w:rsidR="0085541C" w:rsidRPr="00B32542">
        <w:rPr>
          <w:rFonts w:ascii="Times New Roman" w:hAnsi="Times New Roman"/>
          <w:lang w:val="en-GB"/>
        </w:rPr>
        <w:t>replaced within a year</w:t>
      </w:r>
      <w:r w:rsidRPr="00B32542">
        <w:rPr>
          <w:rFonts w:ascii="Times New Roman" w:hAnsi="Times New Roman"/>
          <w:lang w:val="en-GB"/>
        </w:rPr>
        <w:t xml:space="preserve"> by new versions or new models. </w:t>
      </w:r>
      <w:r w:rsidR="00630D9D" w:rsidRPr="00B32542">
        <w:rPr>
          <w:rFonts w:ascii="Times New Roman" w:hAnsi="Times New Roman"/>
          <w:lang w:val="en-GB"/>
        </w:rPr>
        <w:t xml:space="preserve">The quality of the products offered on the market is mixed. </w:t>
      </w:r>
      <w:r w:rsidR="0085541C" w:rsidRPr="00B32542">
        <w:rPr>
          <w:rFonts w:ascii="Times New Roman" w:hAnsi="Times New Roman"/>
          <w:lang w:val="en-GB"/>
        </w:rPr>
        <w:t xml:space="preserve">Procurement </w:t>
      </w:r>
      <w:r w:rsidR="00B52D1B" w:rsidRPr="00B32542">
        <w:rPr>
          <w:rFonts w:ascii="Times New Roman" w:hAnsi="Times New Roman"/>
          <w:lang w:val="en-GB"/>
        </w:rPr>
        <w:t>c</w:t>
      </w:r>
      <w:r w:rsidR="00630D9D" w:rsidRPr="00B32542">
        <w:rPr>
          <w:rFonts w:ascii="Times New Roman" w:hAnsi="Times New Roman"/>
          <w:lang w:val="en-GB"/>
        </w:rPr>
        <w:t xml:space="preserve">riteria for </w:t>
      </w:r>
      <w:r w:rsidR="0085541C" w:rsidRPr="00B32542">
        <w:rPr>
          <w:rFonts w:ascii="Times New Roman" w:hAnsi="Times New Roman"/>
          <w:lang w:val="en-GB"/>
        </w:rPr>
        <w:t xml:space="preserve">the energy efficiency and quality of </w:t>
      </w:r>
      <w:r w:rsidR="00630D9D" w:rsidRPr="00B32542">
        <w:rPr>
          <w:rFonts w:ascii="Times New Roman" w:hAnsi="Times New Roman"/>
          <w:lang w:val="en-GB"/>
        </w:rPr>
        <w:t xml:space="preserve">LED lighting </w:t>
      </w:r>
      <w:r w:rsidR="0085541C" w:rsidRPr="00B32542">
        <w:rPr>
          <w:rFonts w:ascii="Times New Roman" w:hAnsi="Times New Roman"/>
          <w:lang w:val="en-GB"/>
        </w:rPr>
        <w:t>therefore need to be regularly</w:t>
      </w:r>
      <w:r w:rsidR="00630D9D" w:rsidRPr="00B32542">
        <w:rPr>
          <w:rFonts w:ascii="Times New Roman" w:hAnsi="Times New Roman"/>
          <w:lang w:val="en-GB"/>
        </w:rPr>
        <w:t xml:space="preserve"> revised to be in accordance with </w:t>
      </w:r>
      <w:r w:rsidR="0085541C" w:rsidRPr="00B32542">
        <w:rPr>
          <w:rFonts w:ascii="Times New Roman" w:hAnsi="Times New Roman"/>
          <w:lang w:val="en-GB"/>
        </w:rPr>
        <w:t xml:space="preserve">the current </w:t>
      </w:r>
      <w:r w:rsidR="00630D9D" w:rsidRPr="00B32542">
        <w:rPr>
          <w:rFonts w:ascii="Times New Roman" w:hAnsi="Times New Roman"/>
          <w:lang w:val="en-GB"/>
        </w:rPr>
        <w:t>fast</w:t>
      </w:r>
      <w:r w:rsidR="0085541C" w:rsidRPr="00B32542">
        <w:rPr>
          <w:rFonts w:ascii="Times New Roman" w:hAnsi="Times New Roman"/>
          <w:lang w:val="en-GB"/>
        </w:rPr>
        <w:t xml:space="preserve"> development of the </w:t>
      </w:r>
      <w:r w:rsidR="00630D9D" w:rsidRPr="00B32542">
        <w:rPr>
          <w:rFonts w:ascii="Times New Roman" w:hAnsi="Times New Roman"/>
          <w:lang w:val="en-GB"/>
        </w:rPr>
        <w:t xml:space="preserve">technology. </w:t>
      </w:r>
      <w:r w:rsidRPr="00B32542">
        <w:rPr>
          <w:rFonts w:ascii="Times New Roman" w:hAnsi="Times New Roman"/>
          <w:lang w:val="en-GB"/>
        </w:rPr>
        <w:t>Many international measurement standards for LED are still under development. Besides technical product criteria, the overall lighting system</w:t>
      </w:r>
      <w:r w:rsidR="001151A8" w:rsidRPr="00B32542">
        <w:rPr>
          <w:rFonts w:ascii="Times New Roman" w:hAnsi="Times New Roman"/>
          <w:lang w:val="en-GB"/>
        </w:rPr>
        <w:t xml:space="preserve"> design </w:t>
      </w:r>
      <w:r w:rsidRPr="00B32542">
        <w:rPr>
          <w:rFonts w:ascii="Times New Roman" w:hAnsi="Times New Roman"/>
          <w:lang w:val="en-GB"/>
        </w:rPr>
        <w:t xml:space="preserve">is also essential </w:t>
      </w:r>
      <w:r w:rsidR="001151A8" w:rsidRPr="00B32542">
        <w:rPr>
          <w:rFonts w:ascii="Times New Roman" w:hAnsi="Times New Roman"/>
          <w:lang w:val="en-GB"/>
        </w:rPr>
        <w:t xml:space="preserve">in order </w:t>
      </w:r>
      <w:r w:rsidRPr="00B32542">
        <w:rPr>
          <w:rFonts w:ascii="Times New Roman" w:hAnsi="Times New Roman"/>
          <w:lang w:val="en-GB"/>
        </w:rPr>
        <w:t xml:space="preserve">to </w:t>
      </w:r>
      <w:r w:rsidR="001151A8" w:rsidRPr="00B32542">
        <w:rPr>
          <w:rFonts w:ascii="Times New Roman" w:hAnsi="Times New Roman"/>
          <w:lang w:val="en-GB"/>
        </w:rPr>
        <w:t xml:space="preserve">support </w:t>
      </w:r>
      <w:r w:rsidRPr="00B32542">
        <w:rPr>
          <w:rFonts w:ascii="Times New Roman" w:hAnsi="Times New Roman"/>
          <w:lang w:val="en-GB"/>
        </w:rPr>
        <w:t>high quality energy efficient solutions</w:t>
      </w:r>
      <w:r w:rsidR="001151A8" w:rsidRPr="00B32542">
        <w:rPr>
          <w:rFonts w:ascii="Times New Roman" w:hAnsi="Times New Roman"/>
          <w:lang w:val="en-GB"/>
        </w:rPr>
        <w:t xml:space="preserve"> are selected</w:t>
      </w:r>
      <w:r w:rsidRPr="00B32542">
        <w:rPr>
          <w:rFonts w:ascii="Times New Roman" w:hAnsi="Times New Roman"/>
          <w:lang w:val="en-GB"/>
        </w:rPr>
        <w:t>.</w:t>
      </w:r>
    </w:p>
    <w:p w14:paraId="439D9EE0" w14:textId="2207116E" w:rsidR="008F7478" w:rsidRPr="00B32542" w:rsidRDefault="008F7478" w:rsidP="008E5DEA">
      <w:pPr>
        <w:spacing w:after="60"/>
        <w:rPr>
          <w:rFonts w:ascii="Times New Roman" w:hAnsi="Times New Roman"/>
          <w:lang w:val="en-GB"/>
        </w:rPr>
      </w:pPr>
      <w:proofErr w:type="spellStart"/>
      <w:r w:rsidRPr="00B32542">
        <w:rPr>
          <w:rFonts w:ascii="Times New Roman" w:hAnsi="Times New Roman"/>
          <w:lang w:val="en-GB"/>
        </w:rPr>
        <w:t>PremiumLight</w:t>
      </w:r>
      <w:proofErr w:type="spellEnd"/>
      <w:r w:rsidR="00B52D1B" w:rsidRPr="00B32542">
        <w:rPr>
          <w:rFonts w:ascii="Times New Roman" w:hAnsi="Times New Roman"/>
          <w:lang w:val="en-GB"/>
        </w:rPr>
        <w:t>-Pro</w:t>
      </w:r>
      <w:r w:rsidRPr="00B32542">
        <w:rPr>
          <w:rFonts w:ascii="Times New Roman" w:hAnsi="Times New Roman"/>
          <w:lang w:val="en-GB"/>
        </w:rPr>
        <w:t xml:space="preserve"> </w:t>
      </w:r>
      <w:r w:rsidR="00B52D1B" w:rsidRPr="00B32542">
        <w:rPr>
          <w:rFonts w:ascii="Times New Roman" w:hAnsi="Times New Roman"/>
          <w:lang w:val="en-GB"/>
        </w:rPr>
        <w:t xml:space="preserve">has </w:t>
      </w:r>
      <w:r w:rsidRPr="00B32542">
        <w:rPr>
          <w:rFonts w:ascii="Times New Roman" w:hAnsi="Times New Roman"/>
          <w:lang w:val="en-GB"/>
        </w:rPr>
        <w:t xml:space="preserve">set procurement criteria for </w:t>
      </w:r>
      <w:r w:rsidR="00B52D1B" w:rsidRPr="00B32542">
        <w:rPr>
          <w:lang w:val="en-GB"/>
        </w:rPr>
        <w:t xml:space="preserve">white </w:t>
      </w:r>
      <w:r w:rsidR="008E5DEA" w:rsidRPr="00B32542">
        <w:rPr>
          <w:lang w:val="en-GB"/>
        </w:rPr>
        <w:t xml:space="preserve">LED </w:t>
      </w:r>
      <w:r w:rsidR="00B52D1B" w:rsidRPr="00B32542">
        <w:rPr>
          <w:lang w:val="en-GB"/>
        </w:rPr>
        <w:t xml:space="preserve">light sources </w:t>
      </w:r>
      <w:r w:rsidR="003571AF" w:rsidRPr="00B32542">
        <w:rPr>
          <w:lang w:val="en-GB"/>
        </w:rPr>
        <w:t xml:space="preserve">and LED </w:t>
      </w:r>
      <w:r w:rsidR="00B52D1B" w:rsidRPr="00B32542">
        <w:rPr>
          <w:lang w:val="en-GB"/>
        </w:rPr>
        <w:t xml:space="preserve">tuneable </w:t>
      </w:r>
      <w:r w:rsidR="003571AF" w:rsidRPr="00B32542">
        <w:rPr>
          <w:lang w:val="en-GB"/>
        </w:rPr>
        <w:t xml:space="preserve">light </w:t>
      </w:r>
      <w:r w:rsidR="00B52D1B" w:rsidRPr="00B32542">
        <w:rPr>
          <w:lang w:val="en-GB"/>
        </w:rPr>
        <w:t xml:space="preserve">sources </w:t>
      </w:r>
      <w:r w:rsidR="003571AF" w:rsidRPr="00B32542">
        <w:rPr>
          <w:lang w:val="en-GB"/>
        </w:rPr>
        <w:t xml:space="preserve">including </w:t>
      </w:r>
      <w:r w:rsidR="00B52D1B" w:rsidRPr="00B32542">
        <w:rPr>
          <w:lang w:val="en-GB"/>
        </w:rPr>
        <w:t>the white region</w:t>
      </w:r>
      <w:r w:rsidR="00B52D1B" w:rsidRPr="00B32542">
        <w:rPr>
          <w:rStyle w:val="Odwoanieprzypisudolnego"/>
          <w:lang w:val="en-GB"/>
        </w:rPr>
        <w:footnoteReference w:id="1"/>
      </w:r>
      <w:r w:rsidR="00B52D1B" w:rsidRPr="00B32542">
        <w:rPr>
          <w:lang w:val="en-GB"/>
        </w:rPr>
        <w:t xml:space="preserve">. </w:t>
      </w:r>
      <w:r w:rsidR="00B65312" w:rsidRPr="00B32542">
        <w:rPr>
          <w:lang w:val="en-GB"/>
        </w:rPr>
        <w:t xml:space="preserve">The criteria </w:t>
      </w:r>
      <w:r w:rsidR="0030123A" w:rsidRPr="00B32542">
        <w:rPr>
          <w:lang w:val="en-GB"/>
        </w:rPr>
        <w:t>are</w:t>
      </w:r>
      <w:r w:rsidR="003571AF" w:rsidRPr="00B32542">
        <w:rPr>
          <w:lang w:val="en-GB"/>
        </w:rPr>
        <w:t xml:space="preserve"> </w:t>
      </w:r>
      <w:r w:rsidR="00B65312" w:rsidRPr="00B32542">
        <w:rPr>
          <w:lang w:val="en-GB"/>
        </w:rPr>
        <w:t xml:space="preserve">set </w:t>
      </w:r>
      <w:r w:rsidRPr="00B32542">
        <w:rPr>
          <w:rFonts w:ascii="Times New Roman" w:hAnsi="Times New Roman"/>
          <w:lang w:val="en-GB"/>
        </w:rPr>
        <w:t xml:space="preserve">to cover recent technology developments by the lighting industry, requirements in the demand side market and as far as possible all components within lighting systems used particular </w:t>
      </w:r>
      <w:r w:rsidR="0028357F" w:rsidRPr="00B32542">
        <w:rPr>
          <w:rFonts w:ascii="Times New Roman" w:hAnsi="Times New Roman"/>
          <w:lang w:val="en-GB"/>
        </w:rPr>
        <w:t xml:space="preserve">for </w:t>
      </w:r>
      <w:r w:rsidRPr="00B32542">
        <w:rPr>
          <w:rFonts w:ascii="Times New Roman" w:hAnsi="Times New Roman"/>
          <w:lang w:val="en-GB"/>
        </w:rPr>
        <w:t>the following areas within the service sector:</w:t>
      </w:r>
    </w:p>
    <w:p w14:paraId="72FCA282" w14:textId="77777777" w:rsidR="00701310" w:rsidRPr="00B32542" w:rsidRDefault="00701310" w:rsidP="00580D06">
      <w:pPr>
        <w:numPr>
          <w:ilvl w:val="0"/>
          <w:numId w:val="1"/>
        </w:numPr>
        <w:spacing w:after="0" w:line="300" w:lineRule="exact"/>
        <w:ind w:left="714" w:hanging="357"/>
        <w:jc w:val="both"/>
        <w:rPr>
          <w:rFonts w:ascii="Times New Roman" w:hAnsi="Times New Roman"/>
          <w:lang w:val="en-GB"/>
        </w:rPr>
      </w:pPr>
      <w:r w:rsidRPr="00B32542">
        <w:rPr>
          <w:rFonts w:ascii="Times New Roman" w:hAnsi="Times New Roman"/>
          <w:lang w:val="en-GB"/>
        </w:rPr>
        <w:t>Offices and education areas (offices, meeting rooms, schools and education sector etc.);</w:t>
      </w:r>
    </w:p>
    <w:p w14:paraId="60F34445" w14:textId="5A1CEF50" w:rsidR="00701310" w:rsidRPr="00B32542" w:rsidRDefault="006B125B" w:rsidP="00580D06">
      <w:pPr>
        <w:numPr>
          <w:ilvl w:val="0"/>
          <w:numId w:val="1"/>
        </w:numPr>
        <w:spacing w:before="40" w:after="0" w:line="300" w:lineRule="exact"/>
        <w:ind w:left="714" w:hanging="357"/>
        <w:jc w:val="both"/>
        <w:rPr>
          <w:rFonts w:ascii="Times New Roman" w:hAnsi="Times New Roman"/>
          <w:lang w:val="en-GB"/>
        </w:rPr>
      </w:pPr>
      <w:r w:rsidRPr="00B32542">
        <w:rPr>
          <w:rFonts w:ascii="Times New Roman" w:hAnsi="Times New Roman"/>
          <w:lang w:val="en-GB"/>
        </w:rPr>
        <w:t>Walking</w:t>
      </w:r>
      <w:r w:rsidR="00701310" w:rsidRPr="00B32542">
        <w:rPr>
          <w:rFonts w:ascii="Times New Roman" w:hAnsi="Times New Roman"/>
          <w:lang w:val="en-GB"/>
        </w:rPr>
        <w:t xml:space="preserve"> areas and halls in public and private service sector buildings;</w:t>
      </w:r>
    </w:p>
    <w:p w14:paraId="6F8EEC65" w14:textId="77777777" w:rsidR="00701310" w:rsidRPr="00B32542" w:rsidRDefault="00701310" w:rsidP="00580D06">
      <w:pPr>
        <w:numPr>
          <w:ilvl w:val="0"/>
          <w:numId w:val="1"/>
        </w:numPr>
        <w:spacing w:before="40" w:after="0" w:line="300" w:lineRule="exact"/>
        <w:ind w:left="714" w:hanging="357"/>
        <w:jc w:val="both"/>
        <w:rPr>
          <w:rFonts w:ascii="Times New Roman" w:hAnsi="Times New Roman"/>
          <w:lang w:val="en-GB"/>
        </w:rPr>
      </w:pPr>
      <w:r w:rsidRPr="00B32542">
        <w:rPr>
          <w:rFonts w:ascii="Times New Roman" w:hAnsi="Times New Roman"/>
          <w:lang w:val="en-GB"/>
        </w:rPr>
        <w:t>Presentation areas in the public and private service sector (museums, retail sector etc.);</w:t>
      </w:r>
    </w:p>
    <w:p w14:paraId="590FDD05" w14:textId="2D9D2476" w:rsidR="00701310" w:rsidRPr="00B32542" w:rsidRDefault="006B125B" w:rsidP="00580D06">
      <w:pPr>
        <w:numPr>
          <w:ilvl w:val="0"/>
          <w:numId w:val="1"/>
        </w:numPr>
        <w:spacing w:before="40" w:after="120" w:line="300" w:lineRule="exact"/>
        <w:ind w:left="714" w:hanging="357"/>
        <w:jc w:val="both"/>
        <w:rPr>
          <w:rFonts w:ascii="Times New Roman" w:hAnsi="Times New Roman"/>
          <w:i/>
          <w:lang w:val="en-GB"/>
        </w:rPr>
      </w:pPr>
      <w:r w:rsidRPr="00B32542">
        <w:rPr>
          <w:rFonts w:ascii="Times New Roman" w:hAnsi="Times New Roman"/>
          <w:lang w:val="en-GB"/>
        </w:rPr>
        <w:t xml:space="preserve">Walking </w:t>
      </w:r>
      <w:r w:rsidR="00701310" w:rsidRPr="00B32542">
        <w:rPr>
          <w:rFonts w:ascii="Times New Roman" w:hAnsi="Times New Roman"/>
          <w:lang w:val="en-GB"/>
        </w:rPr>
        <w:t>areas and sickrooms in the health sector etc.</w:t>
      </w:r>
    </w:p>
    <w:p w14:paraId="590D9956" w14:textId="5301C3ED" w:rsidR="00384F71" w:rsidRPr="00B32542" w:rsidRDefault="00701310" w:rsidP="00C40D20">
      <w:pPr>
        <w:spacing w:after="120" w:line="240" w:lineRule="auto"/>
        <w:jc w:val="both"/>
        <w:rPr>
          <w:rFonts w:ascii="Times New Roman" w:hAnsi="Times New Roman"/>
          <w:lang w:val="en-GB"/>
        </w:rPr>
      </w:pPr>
      <w:r w:rsidRPr="00B32542">
        <w:rPr>
          <w:rFonts w:ascii="Times New Roman" w:hAnsi="Times New Roman"/>
          <w:lang w:val="en-GB"/>
        </w:rPr>
        <w:t xml:space="preserve">The procurement criteria </w:t>
      </w:r>
      <w:r w:rsidR="001151A8" w:rsidRPr="00B32542">
        <w:rPr>
          <w:rFonts w:ascii="Times New Roman" w:hAnsi="Times New Roman"/>
          <w:lang w:val="en-GB"/>
        </w:rPr>
        <w:t>are d</w:t>
      </w:r>
      <w:r w:rsidRPr="00B32542">
        <w:rPr>
          <w:rFonts w:ascii="Times New Roman" w:hAnsi="Times New Roman"/>
          <w:lang w:val="en-GB"/>
        </w:rPr>
        <w:t xml:space="preserve">eveloped </w:t>
      </w:r>
      <w:r w:rsidR="00384F71" w:rsidRPr="00B32542">
        <w:rPr>
          <w:rFonts w:ascii="Times New Roman" w:hAnsi="Times New Roman"/>
          <w:lang w:val="en-GB"/>
        </w:rPr>
        <w:t xml:space="preserve">with consultation of </w:t>
      </w:r>
      <w:r w:rsidRPr="00B32542">
        <w:rPr>
          <w:rFonts w:ascii="Times New Roman" w:hAnsi="Times New Roman"/>
          <w:lang w:val="en-GB"/>
        </w:rPr>
        <w:t xml:space="preserve">experts from </w:t>
      </w:r>
      <w:r w:rsidR="00384F71" w:rsidRPr="00B32542">
        <w:rPr>
          <w:rFonts w:ascii="Times New Roman" w:hAnsi="Times New Roman"/>
          <w:lang w:val="en-GB"/>
        </w:rPr>
        <w:t xml:space="preserve">both </w:t>
      </w:r>
      <w:r w:rsidRPr="00B32542">
        <w:rPr>
          <w:rFonts w:ascii="Times New Roman" w:hAnsi="Times New Roman"/>
          <w:lang w:val="en-GB"/>
        </w:rPr>
        <w:t>the supply and demand side sector</w:t>
      </w:r>
      <w:r w:rsidR="00580D06">
        <w:rPr>
          <w:rFonts w:ascii="Times New Roman" w:hAnsi="Times New Roman"/>
          <w:lang w:val="en-GB"/>
        </w:rPr>
        <w:t xml:space="preserve"> and considering r</w:t>
      </w:r>
      <w:r w:rsidRPr="00B32542">
        <w:rPr>
          <w:rFonts w:ascii="Times New Roman" w:hAnsi="Times New Roman"/>
          <w:lang w:val="en-GB"/>
        </w:rPr>
        <w:t>ecent international criteria</w:t>
      </w:r>
      <w:r w:rsidR="00580D06">
        <w:rPr>
          <w:rFonts w:ascii="Times New Roman" w:hAnsi="Times New Roman"/>
          <w:lang w:val="en-GB"/>
        </w:rPr>
        <w:t>:</w:t>
      </w:r>
    </w:p>
    <w:p w14:paraId="3E7FE091" w14:textId="77777777" w:rsidR="00596DA4" w:rsidRPr="00596DA4" w:rsidRDefault="00384F71" w:rsidP="00580D06">
      <w:pPr>
        <w:pStyle w:val="Akapitzlist"/>
        <w:numPr>
          <w:ilvl w:val="0"/>
          <w:numId w:val="2"/>
        </w:numPr>
        <w:spacing w:after="0" w:line="300" w:lineRule="exact"/>
        <w:ind w:left="714" w:hanging="357"/>
        <w:jc w:val="both"/>
        <w:rPr>
          <w:rStyle w:val="Hipercze"/>
          <w:rFonts w:ascii="Times New Roman" w:hAnsi="Times New Roman"/>
          <w:color w:val="auto"/>
          <w:u w:val="none"/>
          <w:lang w:val="en-GB"/>
        </w:rPr>
      </w:pPr>
      <w:r w:rsidRPr="00580D06">
        <w:rPr>
          <w:rFonts w:ascii="Times New Roman" w:hAnsi="Times New Roman"/>
          <w:lang w:val="en-GB"/>
        </w:rPr>
        <w:t xml:space="preserve">The </w:t>
      </w:r>
      <w:r w:rsidR="00701310" w:rsidRPr="00580D06">
        <w:rPr>
          <w:rFonts w:ascii="Times New Roman" w:hAnsi="Times New Roman"/>
          <w:lang w:val="en-GB"/>
        </w:rPr>
        <w:t xml:space="preserve">IEA </w:t>
      </w:r>
      <w:r w:rsidRPr="00580D06">
        <w:rPr>
          <w:rFonts w:ascii="Times New Roman" w:hAnsi="Times New Roman"/>
          <w:lang w:val="en-GB"/>
        </w:rPr>
        <w:t xml:space="preserve">4E SSL </w:t>
      </w:r>
      <w:r w:rsidR="008F20A9" w:rsidRPr="00580D06">
        <w:rPr>
          <w:rFonts w:ascii="Times New Roman" w:hAnsi="Times New Roman"/>
          <w:lang w:val="en-GB"/>
        </w:rPr>
        <w:t>A</w:t>
      </w:r>
      <w:r w:rsidRPr="00580D06">
        <w:rPr>
          <w:rFonts w:ascii="Times New Roman" w:hAnsi="Times New Roman"/>
          <w:lang w:val="en-GB"/>
        </w:rPr>
        <w:t xml:space="preserve">nnex </w:t>
      </w:r>
      <w:r w:rsidR="008F20A9" w:rsidRPr="00580D06">
        <w:rPr>
          <w:rFonts w:ascii="Times New Roman" w:hAnsi="Times New Roman"/>
          <w:lang w:val="en-GB"/>
        </w:rPr>
        <w:t>T</w:t>
      </w:r>
      <w:r w:rsidRPr="00580D06">
        <w:rPr>
          <w:rFonts w:ascii="Times New Roman" w:hAnsi="Times New Roman"/>
          <w:lang w:val="en-GB"/>
        </w:rPr>
        <w:t>iers</w:t>
      </w:r>
      <w:r w:rsidR="008F20A9" w:rsidRPr="00580D06">
        <w:rPr>
          <w:rFonts w:ascii="Times New Roman" w:hAnsi="Times New Roman"/>
          <w:lang w:val="en-GB"/>
        </w:rPr>
        <w:t xml:space="preserve">, new </w:t>
      </w:r>
      <w:r w:rsidRPr="00580D06">
        <w:rPr>
          <w:rFonts w:ascii="Times New Roman" w:hAnsi="Times New Roman"/>
          <w:lang w:val="en-GB"/>
        </w:rPr>
        <w:t xml:space="preserve">update </w:t>
      </w:r>
      <w:r w:rsidR="008F20A9" w:rsidRPr="00580D06">
        <w:rPr>
          <w:rFonts w:ascii="Times New Roman" w:hAnsi="Times New Roman"/>
          <w:lang w:val="en-GB"/>
        </w:rPr>
        <w:t xml:space="preserve">published </w:t>
      </w:r>
      <w:r w:rsidR="00903F4B" w:rsidRPr="00580D06">
        <w:rPr>
          <w:rFonts w:ascii="Times New Roman" w:hAnsi="Times New Roman"/>
          <w:lang w:val="en-GB"/>
        </w:rPr>
        <w:t>Nov</w:t>
      </w:r>
      <w:r w:rsidRPr="00580D06">
        <w:rPr>
          <w:rFonts w:ascii="Times New Roman" w:hAnsi="Times New Roman"/>
          <w:lang w:val="en-GB"/>
        </w:rPr>
        <w:t xml:space="preserve"> 2016</w:t>
      </w:r>
      <w:r w:rsidR="00C80E65" w:rsidRPr="00580D06">
        <w:rPr>
          <w:rFonts w:ascii="Times New Roman" w:hAnsi="Times New Roman"/>
          <w:lang w:val="en-GB"/>
        </w:rPr>
        <w:t xml:space="preserve"> </w:t>
      </w:r>
      <w:hyperlink r:id="rId11" w:history="1">
        <w:r w:rsidR="00903F4B" w:rsidRPr="00580D06">
          <w:rPr>
            <w:rStyle w:val="Hipercze"/>
            <w:rFonts w:ascii="Calibri" w:hAnsi="Calibri" w:cs="Calibri"/>
          </w:rPr>
          <w:t>http://ssl.iea-4e.org/product-performance/performance-tiers</w:t>
        </w:r>
      </w:hyperlink>
    </w:p>
    <w:p w14:paraId="7369048C" w14:textId="77777777" w:rsidR="00596DA4" w:rsidRPr="00596DA4" w:rsidRDefault="008F20A9" w:rsidP="00580D06">
      <w:pPr>
        <w:pStyle w:val="Akapitzlist"/>
        <w:numPr>
          <w:ilvl w:val="0"/>
          <w:numId w:val="2"/>
        </w:numPr>
        <w:spacing w:after="0" w:line="300" w:lineRule="exact"/>
        <w:ind w:left="714" w:hanging="357"/>
        <w:jc w:val="both"/>
        <w:rPr>
          <w:rStyle w:val="Hipercze"/>
          <w:rFonts w:ascii="Times New Roman" w:hAnsi="Times New Roman"/>
          <w:color w:val="auto"/>
          <w:u w:val="none"/>
          <w:lang w:val="en-GB"/>
        </w:rPr>
      </w:pPr>
      <w:r w:rsidRPr="00580D06">
        <w:rPr>
          <w:rFonts w:ascii="Times New Roman" w:hAnsi="Times New Roman"/>
          <w:lang w:val="en-GB"/>
        </w:rPr>
        <w:t xml:space="preserve">The </w:t>
      </w:r>
      <w:r w:rsidR="00257A5E" w:rsidRPr="00580D06">
        <w:rPr>
          <w:rFonts w:ascii="Times New Roman" w:hAnsi="Times New Roman"/>
          <w:lang w:val="en-GB"/>
        </w:rPr>
        <w:t xml:space="preserve">existing </w:t>
      </w:r>
      <w:r w:rsidRPr="00580D06">
        <w:rPr>
          <w:rFonts w:ascii="Times New Roman" w:hAnsi="Times New Roman"/>
          <w:lang w:val="en-GB"/>
        </w:rPr>
        <w:t xml:space="preserve">EU </w:t>
      </w:r>
      <w:proofErr w:type="spellStart"/>
      <w:r w:rsidR="00374CFF" w:rsidRPr="00580D06">
        <w:rPr>
          <w:rFonts w:ascii="Times New Roman" w:hAnsi="Times New Roman"/>
          <w:lang w:val="en-GB"/>
        </w:rPr>
        <w:t>ecodesign</w:t>
      </w:r>
      <w:proofErr w:type="spellEnd"/>
      <w:r w:rsidR="00374CFF" w:rsidRPr="00580D06">
        <w:rPr>
          <w:rFonts w:ascii="Times New Roman" w:hAnsi="Times New Roman"/>
          <w:lang w:val="en-GB"/>
        </w:rPr>
        <w:t xml:space="preserve"> regulation from 2009</w:t>
      </w:r>
      <w:r w:rsidR="00C40D20" w:rsidRPr="00580D06">
        <w:rPr>
          <w:rFonts w:ascii="Times New Roman" w:hAnsi="Times New Roman"/>
          <w:lang w:val="en-GB"/>
        </w:rPr>
        <w:t xml:space="preserve"> and 2012:</w:t>
      </w:r>
      <w:r w:rsidR="00374CFF" w:rsidRPr="00580D06">
        <w:rPr>
          <w:rFonts w:ascii="Times New Roman" w:hAnsi="Times New Roman"/>
          <w:lang w:val="en-GB"/>
        </w:rPr>
        <w:t xml:space="preserve"> </w:t>
      </w:r>
      <w:hyperlink r:id="rId12" w:history="1">
        <w:r w:rsidR="00A10B7F" w:rsidRPr="00580D06">
          <w:rPr>
            <w:rStyle w:val="Hipercze"/>
            <w:rFonts w:ascii="Times New Roman" w:hAnsi="Times New Roman"/>
            <w:lang w:val="en-GB"/>
          </w:rPr>
          <w:t>http://eur-lex.europa.eu/legal-content/EN/TXT/?uri=CELEX:32009R0244</w:t>
        </w:r>
      </w:hyperlink>
      <w:r w:rsidR="00C40D20" w:rsidRPr="00580D06">
        <w:rPr>
          <w:rFonts w:ascii="Times New Roman" w:hAnsi="Times New Roman"/>
          <w:lang w:val="en-GB"/>
        </w:rPr>
        <w:t xml:space="preserve">, </w:t>
      </w:r>
      <w:hyperlink r:id="rId13" w:history="1">
        <w:r w:rsidR="00A10B7F" w:rsidRPr="00580D06">
          <w:rPr>
            <w:rStyle w:val="Hipercze"/>
            <w:rFonts w:ascii="Times New Roman" w:hAnsi="Times New Roman"/>
            <w:lang w:val="en-GB"/>
          </w:rPr>
          <w:t>http://eur-lex.europa.eu/LexUriServ/LexUriServ.do?uri=OJ:L:2009:076:0017:0044:EN:PDF</w:t>
        </w:r>
      </w:hyperlink>
      <w:r w:rsidR="00C40D20" w:rsidRPr="00580D06">
        <w:rPr>
          <w:rFonts w:ascii="Times New Roman" w:hAnsi="Times New Roman"/>
          <w:lang w:val="en-GB"/>
        </w:rPr>
        <w:t xml:space="preserve">, </w:t>
      </w:r>
      <w:hyperlink r:id="rId14" w:history="1">
        <w:r w:rsidR="00C40D20" w:rsidRPr="00580D06">
          <w:rPr>
            <w:rStyle w:val="Hipercze"/>
            <w:rFonts w:ascii="Times New Roman" w:hAnsi="Times New Roman"/>
            <w:lang w:val="en-GB"/>
          </w:rPr>
          <w:t>http://eur-lex.europa.eu/LexUriServ/LexUriServ.do?</w:t>
        </w:r>
        <w:r w:rsidR="00C40D20" w:rsidRPr="00580D06">
          <w:rPr>
            <w:rStyle w:val="Hipercze"/>
            <w:rFonts w:ascii="Times New Roman" w:hAnsi="Times New Roman"/>
            <w:lang w:val="en-GB"/>
          </w:rPr>
          <w:softHyphen/>
          <w:t>uri=OJ:L</w:t>
        </w:r>
        <w:r w:rsidR="00C40D20" w:rsidRPr="00580D06">
          <w:rPr>
            <w:rStyle w:val="Hipercze"/>
            <w:rFonts w:ascii="Times New Roman" w:hAnsi="Times New Roman"/>
            <w:lang w:val="en-GB"/>
          </w:rPr>
          <w:softHyphen/>
          <w:t>:2012:342:0001:0022:EN:PDF</w:t>
        </w:r>
      </w:hyperlink>
    </w:p>
    <w:p w14:paraId="1D82DE42" w14:textId="438FA545" w:rsidR="00580D06" w:rsidRPr="00580D06" w:rsidRDefault="00374CFF" w:rsidP="00580D06">
      <w:pPr>
        <w:pStyle w:val="Akapitzlist"/>
        <w:numPr>
          <w:ilvl w:val="0"/>
          <w:numId w:val="2"/>
        </w:numPr>
        <w:spacing w:after="0" w:line="300" w:lineRule="exact"/>
        <w:ind w:left="714" w:hanging="357"/>
        <w:jc w:val="both"/>
        <w:rPr>
          <w:rStyle w:val="Hipercze"/>
          <w:rFonts w:ascii="Times New Roman" w:hAnsi="Times New Roman"/>
          <w:color w:val="auto"/>
          <w:u w:val="none"/>
          <w:lang w:val="en-GB"/>
        </w:rPr>
      </w:pPr>
      <w:r w:rsidRPr="00580D06">
        <w:rPr>
          <w:rFonts w:ascii="Times New Roman" w:hAnsi="Times New Roman"/>
          <w:lang w:val="en-GB"/>
        </w:rPr>
        <w:t>EU Preparatory study on Light Sources (Lot 8/9/19) by VHK, 2015</w:t>
      </w:r>
      <w:r w:rsidR="00A10B7F" w:rsidRPr="00580D06">
        <w:rPr>
          <w:rFonts w:ascii="Times New Roman" w:hAnsi="Times New Roman"/>
          <w:lang w:val="en-GB"/>
        </w:rPr>
        <w:t xml:space="preserve"> </w:t>
      </w:r>
      <w:hyperlink r:id="rId15" w:history="1">
        <w:r w:rsidR="00C40D20" w:rsidRPr="00580D06">
          <w:rPr>
            <w:rStyle w:val="Hipercze"/>
            <w:rFonts w:ascii="Times New Roman" w:hAnsi="Times New Roman"/>
            <w:lang w:val="en-GB"/>
          </w:rPr>
          <w:t>http://ecodesign-lightsources.eu/</w:t>
        </w:r>
        <w:r w:rsidRPr="00580D06">
          <w:rPr>
            <w:rStyle w:val="Hipercze"/>
            <w:rFonts w:ascii="Times New Roman" w:hAnsi="Times New Roman"/>
            <w:lang w:val="en-GB"/>
          </w:rPr>
          <w:t>.</w:t>
        </w:r>
      </w:hyperlink>
    </w:p>
    <w:p w14:paraId="6997405F" w14:textId="77777777" w:rsidR="00580D06" w:rsidRPr="00580D06" w:rsidRDefault="00262BDA" w:rsidP="00580D06">
      <w:pPr>
        <w:pStyle w:val="Akapitzlist"/>
        <w:numPr>
          <w:ilvl w:val="0"/>
          <w:numId w:val="2"/>
        </w:numPr>
        <w:spacing w:after="0" w:line="300" w:lineRule="exact"/>
        <w:ind w:left="714" w:hanging="357"/>
        <w:jc w:val="both"/>
        <w:rPr>
          <w:rFonts w:ascii="Times New Roman" w:hAnsi="Times New Roman"/>
          <w:lang w:val="en-GB"/>
        </w:rPr>
      </w:pPr>
      <w:r w:rsidRPr="00580D06">
        <w:rPr>
          <w:rFonts w:ascii="Times New Roman" w:hAnsi="Times New Roman"/>
          <w:lang w:val="en-GB"/>
        </w:rPr>
        <w:t>Australia &amp; New Zealand M</w:t>
      </w:r>
      <w:r w:rsidR="00C8500A" w:rsidRPr="00580D06">
        <w:rPr>
          <w:rFonts w:ascii="Times New Roman" w:hAnsi="Times New Roman"/>
          <w:lang w:val="en-GB"/>
        </w:rPr>
        <w:t xml:space="preserve">EPS </w:t>
      </w:r>
      <w:r w:rsidRPr="00580D06">
        <w:rPr>
          <w:rFonts w:ascii="Times New Roman" w:hAnsi="Times New Roman"/>
          <w:lang w:val="en-GB"/>
        </w:rPr>
        <w:t xml:space="preserve">for LED, Draft </w:t>
      </w:r>
      <w:r w:rsidR="00C8500A" w:rsidRPr="00580D06">
        <w:rPr>
          <w:rFonts w:ascii="Times New Roman" w:hAnsi="Times New Roman"/>
          <w:lang w:val="en-GB"/>
        </w:rPr>
        <w:t>Dec</w:t>
      </w:r>
      <w:r w:rsidRPr="00580D06">
        <w:rPr>
          <w:rFonts w:ascii="Times New Roman" w:hAnsi="Times New Roman"/>
          <w:lang w:val="en-GB"/>
        </w:rPr>
        <w:t>. 2016</w:t>
      </w:r>
      <w:r w:rsidR="00C8500A" w:rsidRPr="00580D06">
        <w:rPr>
          <w:rFonts w:ascii="Times New Roman" w:hAnsi="Times New Roman"/>
          <w:lang w:val="en-GB"/>
        </w:rPr>
        <w:t xml:space="preserve"> </w:t>
      </w:r>
      <w:hyperlink r:id="rId16" w:history="1">
        <w:r w:rsidR="00C8500A" w:rsidRPr="00580D06">
          <w:rPr>
            <w:rStyle w:val="Hipercze"/>
            <w:rFonts w:ascii="Calibri" w:hAnsi="Calibri" w:cs="Calibri"/>
            <w:lang w:val="en-AU"/>
          </w:rPr>
          <w:t>http://www.energyrating.gov.au/consultation/consultation-ris-lighting</w:t>
        </w:r>
      </w:hyperlink>
    </w:p>
    <w:p w14:paraId="57D9180C" w14:textId="6A8D72D2" w:rsidR="00C8500A" w:rsidRPr="00580D06" w:rsidRDefault="00C8500A" w:rsidP="00580D06">
      <w:pPr>
        <w:pStyle w:val="Akapitzlist"/>
        <w:numPr>
          <w:ilvl w:val="0"/>
          <w:numId w:val="2"/>
        </w:numPr>
        <w:spacing w:after="0" w:line="300" w:lineRule="exact"/>
        <w:ind w:left="714" w:hanging="357"/>
        <w:jc w:val="both"/>
        <w:rPr>
          <w:rStyle w:val="Hipercze"/>
          <w:rFonts w:ascii="Times New Roman" w:hAnsi="Times New Roman"/>
          <w:color w:val="auto"/>
          <w:u w:val="none"/>
          <w:lang w:val="en-GB"/>
        </w:rPr>
      </w:pPr>
      <w:proofErr w:type="spellStart"/>
      <w:r w:rsidRPr="00580D06">
        <w:rPr>
          <w:rFonts w:ascii="Times New Roman" w:hAnsi="Times New Roman"/>
          <w:lang w:val="en-GB"/>
        </w:rPr>
        <w:t>Minergie</w:t>
      </w:r>
      <w:proofErr w:type="spellEnd"/>
      <w:r w:rsidRPr="00580D06">
        <w:rPr>
          <w:rFonts w:ascii="Times New Roman" w:hAnsi="Times New Roman"/>
          <w:lang w:val="en-GB"/>
        </w:rPr>
        <w:t xml:space="preserve"> and </w:t>
      </w:r>
      <w:proofErr w:type="spellStart"/>
      <w:r w:rsidRPr="00580D06">
        <w:rPr>
          <w:rFonts w:ascii="Times New Roman" w:hAnsi="Times New Roman"/>
          <w:lang w:val="en-GB"/>
        </w:rPr>
        <w:t>Toplicht</w:t>
      </w:r>
      <w:proofErr w:type="spellEnd"/>
      <w:r w:rsidRPr="00580D06">
        <w:rPr>
          <w:rFonts w:ascii="Times New Roman" w:hAnsi="Times New Roman"/>
          <w:lang w:val="en-GB"/>
        </w:rPr>
        <w:t xml:space="preserve"> (Switzerland) </w:t>
      </w:r>
      <w:hyperlink r:id="rId17" w:history="1">
        <w:r w:rsidRPr="00580D06">
          <w:rPr>
            <w:rStyle w:val="Hipercze"/>
            <w:rFonts w:ascii="Times New Roman" w:hAnsi="Times New Roman"/>
            <w:lang w:val="en-GB"/>
          </w:rPr>
          <w:t>hhtp://minergie.ch/</w:t>
        </w:r>
      </w:hyperlink>
    </w:p>
    <w:p w14:paraId="51C7BF7A" w14:textId="05731712" w:rsidR="00580D06" w:rsidRDefault="00580D06" w:rsidP="00580D06">
      <w:pPr>
        <w:pStyle w:val="Akapitzlist"/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EU GPP (Green Public Procurement) Criteria for Indoor Lighting (2012): </w:t>
      </w:r>
      <w:hyperlink r:id="rId18" w:history="1">
        <w:r w:rsidRPr="00FA64DD">
          <w:rPr>
            <w:rStyle w:val="Hipercze"/>
            <w:rFonts w:ascii="Times New Roman" w:hAnsi="Times New Roman"/>
            <w:lang w:val="en-GB"/>
          </w:rPr>
          <w:t>http://ec.europa.eu/environment/gpp/pdf/criteria/indoor_lighting.pdf</w:t>
        </w:r>
      </w:hyperlink>
    </w:p>
    <w:p w14:paraId="6D3AED56" w14:textId="77777777" w:rsidR="00580D06" w:rsidRDefault="00580D06" w:rsidP="00580D06">
      <w:pPr>
        <w:pStyle w:val="Akapitzlist"/>
        <w:spacing w:after="0" w:line="300" w:lineRule="exact"/>
        <w:jc w:val="both"/>
        <w:rPr>
          <w:rFonts w:ascii="Times New Roman" w:hAnsi="Times New Roman"/>
          <w:lang w:val="en-GB"/>
        </w:rPr>
      </w:pPr>
    </w:p>
    <w:p w14:paraId="1E8C1D6F" w14:textId="4E2F97F8" w:rsidR="00951FD7" w:rsidRPr="00B32542" w:rsidRDefault="00170E6A" w:rsidP="00C40D20">
      <w:pPr>
        <w:spacing w:after="120" w:line="240" w:lineRule="auto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GB"/>
        </w:rPr>
      </w:pPr>
      <w:r w:rsidRPr="00B32542">
        <w:rPr>
          <w:rFonts w:ascii="Times New Roman" w:hAnsi="Times New Roman" w:cs="Times New Roman"/>
          <w:lang w:val="en-GB"/>
        </w:rPr>
        <w:t xml:space="preserve">The </w:t>
      </w:r>
      <w:proofErr w:type="spellStart"/>
      <w:r w:rsidRPr="00B32542">
        <w:rPr>
          <w:rFonts w:ascii="Times New Roman" w:hAnsi="Times New Roman" w:cs="Times New Roman"/>
          <w:lang w:val="en-GB"/>
        </w:rPr>
        <w:t>PremiumLight</w:t>
      </w:r>
      <w:proofErr w:type="spellEnd"/>
      <w:r w:rsidR="00B52D1B" w:rsidRPr="00B32542">
        <w:rPr>
          <w:rFonts w:ascii="Times New Roman" w:hAnsi="Times New Roman" w:cs="Times New Roman"/>
          <w:lang w:val="en-GB"/>
        </w:rPr>
        <w:t>-Pro</w:t>
      </w:r>
      <w:r w:rsidRPr="00B32542">
        <w:rPr>
          <w:rFonts w:ascii="Times New Roman" w:hAnsi="Times New Roman" w:cs="Times New Roman"/>
          <w:lang w:val="en-GB"/>
        </w:rPr>
        <w:t xml:space="preserve"> procurement criteria </w:t>
      </w:r>
      <w:r w:rsidR="008A7529" w:rsidRPr="00B32542">
        <w:rPr>
          <w:rFonts w:ascii="Times New Roman" w:hAnsi="Times New Roman" w:cs="Times New Roman"/>
          <w:lang w:val="en-GB"/>
        </w:rPr>
        <w:t xml:space="preserve">includes recommended </w:t>
      </w:r>
      <w:r w:rsidRPr="00B32542">
        <w:rPr>
          <w:rFonts w:ascii="Times New Roman" w:hAnsi="Times New Roman" w:cs="Times New Roman"/>
          <w:lang w:val="en-GB"/>
        </w:rPr>
        <w:t xml:space="preserve">performance levels for </w:t>
      </w:r>
      <w:r w:rsidR="008A7529" w:rsidRPr="00B32542">
        <w:rPr>
          <w:rFonts w:ascii="Times New Roman" w:hAnsi="Times New Roman" w:cs="Times New Roman"/>
          <w:lang w:val="en-GB"/>
        </w:rPr>
        <w:t xml:space="preserve">the most important quality performance parameters trying </w:t>
      </w:r>
      <w:r w:rsidRPr="00B32542">
        <w:rPr>
          <w:rFonts w:ascii="Times New Roman" w:hAnsi="Times New Roman" w:cs="Times New Roman"/>
          <w:lang w:val="en-GB"/>
        </w:rPr>
        <w:t>to balance the demand side requirement</w:t>
      </w:r>
      <w:r w:rsidR="008A7529" w:rsidRPr="00B32542">
        <w:rPr>
          <w:rFonts w:ascii="Times New Roman" w:hAnsi="Times New Roman" w:cs="Times New Roman"/>
          <w:lang w:val="en-GB"/>
        </w:rPr>
        <w:t>s</w:t>
      </w:r>
      <w:r w:rsidRPr="00B32542">
        <w:rPr>
          <w:rFonts w:ascii="Times New Roman" w:hAnsi="Times New Roman" w:cs="Times New Roman"/>
          <w:lang w:val="en-GB"/>
        </w:rPr>
        <w:t xml:space="preserve"> </w:t>
      </w:r>
      <w:r w:rsidR="008A7529" w:rsidRPr="00B32542">
        <w:rPr>
          <w:rFonts w:ascii="Times New Roman" w:hAnsi="Times New Roman" w:cs="Times New Roman"/>
          <w:lang w:val="en-GB"/>
        </w:rPr>
        <w:t xml:space="preserve">with </w:t>
      </w:r>
      <w:r w:rsidRPr="00B32542">
        <w:rPr>
          <w:rFonts w:ascii="Times New Roman" w:hAnsi="Times New Roman" w:cs="Times New Roman"/>
          <w:lang w:val="en-GB"/>
        </w:rPr>
        <w:t>not complicating the procurement</w:t>
      </w:r>
      <w:r w:rsidR="0028357F" w:rsidRPr="00B32542">
        <w:rPr>
          <w:rFonts w:ascii="Times New Roman" w:hAnsi="Times New Roman" w:cs="Times New Roman"/>
          <w:lang w:val="en-GB"/>
        </w:rPr>
        <w:t xml:space="preserve"> process </w:t>
      </w:r>
      <w:r w:rsidRPr="00B32542">
        <w:rPr>
          <w:rFonts w:ascii="Times New Roman" w:hAnsi="Times New Roman" w:cs="Times New Roman"/>
          <w:lang w:val="en-GB"/>
        </w:rPr>
        <w:t xml:space="preserve"> more than necessary.</w:t>
      </w:r>
      <w:r w:rsidR="00257A5E" w:rsidRPr="00B32542">
        <w:rPr>
          <w:rFonts w:ascii="Times New Roman" w:hAnsi="Times New Roman" w:cs="Times New Roman"/>
          <w:lang w:val="en-GB"/>
        </w:rPr>
        <w:t xml:space="preserve"> </w:t>
      </w:r>
      <w:r w:rsidR="008A7529" w:rsidRPr="00B32542">
        <w:rPr>
          <w:rFonts w:ascii="Times New Roman" w:hAnsi="Times New Roman" w:cs="Times New Roman"/>
          <w:lang w:val="en-GB"/>
        </w:rPr>
        <w:t xml:space="preserve">This </w:t>
      </w:r>
      <w:r w:rsidR="00257A5E" w:rsidRPr="00B32542">
        <w:rPr>
          <w:rFonts w:ascii="Times New Roman" w:hAnsi="Times New Roman" w:cs="Times New Roman"/>
          <w:lang w:val="en-GB"/>
        </w:rPr>
        <w:t xml:space="preserve">attempt to balance </w:t>
      </w:r>
      <w:r w:rsidR="0028357F" w:rsidRPr="00B32542">
        <w:rPr>
          <w:rFonts w:ascii="Times New Roman" w:hAnsi="Times New Roman" w:cs="Times New Roman"/>
          <w:lang w:val="en-GB"/>
        </w:rPr>
        <w:t xml:space="preserve">has </w:t>
      </w:r>
      <w:r w:rsidR="008A7529" w:rsidRPr="00B32542">
        <w:rPr>
          <w:rFonts w:ascii="Times New Roman" w:hAnsi="Times New Roman" w:cs="Times New Roman"/>
          <w:lang w:val="en-GB"/>
        </w:rPr>
        <w:t xml:space="preserve">resulted in non-inclusion of </w:t>
      </w:r>
      <w:r w:rsidR="00257A5E" w:rsidRPr="00B32542">
        <w:rPr>
          <w:rFonts w:ascii="Times New Roman" w:hAnsi="Times New Roman" w:cs="Times New Roman"/>
          <w:lang w:val="en-GB"/>
        </w:rPr>
        <w:t xml:space="preserve">criteria as luminous intensity distribution, angular colour uniformity and colour beam luminous intensity.   </w:t>
      </w:r>
      <w:bookmarkStart w:id="0" w:name="_Toc457408120"/>
      <w:r w:rsidR="00951FD7" w:rsidRPr="00B32542">
        <w:rPr>
          <w:lang w:val="en-GB"/>
        </w:rPr>
        <w:br w:type="page"/>
      </w:r>
    </w:p>
    <w:p w14:paraId="19FF3F12" w14:textId="278E70DA" w:rsidR="0017400F" w:rsidRPr="00B32542" w:rsidRDefault="0017400F" w:rsidP="0017400F">
      <w:pPr>
        <w:pStyle w:val="Nagwek1"/>
        <w:spacing w:before="0"/>
        <w:rPr>
          <w:rFonts w:eastAsia="Times New Roman"/>
          <w:lang w:val="en-GB" w:eastAsia="en-AU"/>
        </w:rPr>
      </w:pPr>
      <w:r w:rsidRPr="00B32542">
        <w:rPr>
          <w:lang w:val="en-GB"/>
        </w:rPr>
        <w:lastRenderedPageBreak/>
        <w:t xml:space="preserve">Table 1 – </w:t>
      </w:r>
      <w:r w:rsidR="00F27A18" w:rsidRPr="00B32542">
        <w:rPr>
          <w:lang w:val="en-GB"/>
        </w:rPr>
        <w:t xml:space="preserve">LED </w:t>
      </w:r>
      <w:r w:rsidRPr="00B32542">
        <w:rPr>
          <w:lang w:val="en-GB"/>
        </w:rPr>
        <w:t>Requirements</w:t>
      </w:r>
      <w:bookmarkEnd w:id="0"/>
    </w:p>
    <w:tbl>
      <w:tblPr>
        <w:tblW w:w="147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96"/>
        <w:gridCol w:w="1953"/>
        <w:gridCol w:w="29"/>
        <w:gridCol w:w="2941"/>
        <w:gridCol w:w="28"/>
        <w:gridCol w:w="2943"/>
        <w:gridCol w:w="27"/>
        <w:gridCol w:w="2094"/>
        <w:gridCol w:w="3029"/>
      </w:tblGrid>
      <w:tr w:rsidR="00B56863" w:rsidRPr="00B32542" w14:paraId="255F2AE0" w14:textId="77777777" w:rsidTr="003F2B97">
        <w:trPr>
          <w:trHeight w:val="274"/>
          <w:tblHeader/>
        </w:trPr>
        <w:tc>
          <w:tcPr>
            <w:tcW w:w="1696" w:type="dxa"/>
            <w:vMerge w:val="restart"/>
            <w:shd w:val="clear" w:color="auto" w:fill="548DD4" w:themeFill="text2" w:themeFillTint="99"/>
            <w:vAlign w:val="center"/>
            <w:hideMark/>
          </w:tcPr>
          <w:p w14:paraId="16E576E9" w14:textId="77777777" w:rsidR="00B56863" w:rsidRPr="00B32542" w:rsidRDefault="00B56863" w:rsidP="0017400F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val="en-GB" w:eastAsia="en-AU"/>
              </w:rPr>
            </w:pPr>
          </w:p>
          <w:p w14:paraId="7958C016" w14:textId="247D99B6" w:rsidR="00B56863" w:rsidRPr="00B32542" w:rsidRDefault="009C699F" w:rsidP="00F871E1">
            <w:pPr>
              <w:rPr>
                <w:rFonts w:ascii="Calibri" w:eastAsia="Times New Roman" w:hAnsi="Calibri" w:cs="Times New Roman"/>
                <w:b/>
                <w:color w:val="FFFFFF" w:themeColor="background1"/>
                <w:lang w:val="en-GB" w:eastAsia="en-AU"/>
              </w:rPr>
            </w:pPr>
            <w:r w:rsidRPr="00B32542">
              <w:rPr>
                <w:rFonts w:ascii="Calibri" w:eastAsia="Times New Roman" w:hAnsi="Calibri" w:cs="Times New Roman"/>
                <w:b/>
                <w:color w:val="FFFFFF" w:themeColor="background1"/>
                <w:lang w:val="en-GB" w:eastAsia="en-AU"/>
              </w:rPr>
              <w:t>Criteria</w:t>
            </w:r>
          </w:p>
        </w:tc>
        <w:tc>
          <w:tcPr>
            <w:tcW w:w="7894" w:type="dxa"/>
            <w:gridSpan w:val="5"/>
            <w:shd w:val="clear" w:color="auto" w:fill="548DD4" w:themeFill="text2" w:themeFillTint="99"/>
            <w:noWrap/>
            <w:vAlign w:val="center"/>
            <w:hideMark/>
          </w:tcPr>
          <w:p w14:paraId="5CCDFDCF" w14:textId="0CE74E4F" w:rsidR="00B56863" w:rsidRPr="00B32542" w:rsidRDefault="00B56863" w:rsidP="009C699F">
            <w:pPr>
              <w:spacing w:after="0"/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28"/>
                <w:lang w:val="en-GB" w:eastAsia="en-AU"/>
              </w:rPr>
            </w:pPr>
            <w:r w:rsidRPr="00B32542"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28"/>
                <w:lang w:val="en-GB" w:eastAsia="en-AU"/>
              </w:rPr>
              <w:t xml:space="preserve">                                                   Lamps</w:t>
            </w:r>
          </w:p>
        </w:tc>
        <w:tc>
          <w:tcPr>
            <w:tcW w:w="5150" w:type="dxa"/>
            <w:gridSpan w:val="3"/>
            <w:shd w:val="clear" w:color="auto" w:fill="548DD4" w:themeFill="text2" w:themeFillTint="99"/>
            <w:vAlign w:val="center"/>
          </w:tcPr>
          <w:p w14:paraId="79FACB88" w14:textId="44C9AF38" w:rsidR="00B56863" w:rsidRPr="00B32542" w:rsidRDefault="00B56863" w:rsidP="009C699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28"/>
                <w:lang w:val="en-GB" w:eastAsia="en-AU"/>
              </w:rPr>
            </w:pPr>
            <w:r w:rsidRPr="00B32542"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28"/>
                <w:lang w:val="en-GB" w:eastAsia="en-AU"/>
              </w:rPr>
              <w:t>Integrated LED Luminaires</w:t>
            </w:r>
          </w:p>
        </w:tc>
      </w:tr>
      <w:tr w:rsidR="00010BDA" w:rsidRPr="00B32542" w14:paraId="348E9E2F" w14:textId="77777777" w:rsidTr="000D5DAE">
        <w:trPr>
          <w:trHeight w:val="274"/>
          <w:tblHeader/>
        </w:trPr>
        <w:tc>
          <w:tcPr>
            <w:tcW w:w="1696" w:type="dxa"/>
            <w:vMerge/>
          </w:tcPr>
          <w:p w14:paraId="4CAAFE61" w14:textId="77777777" w:rsidR="00010BDA" w:rsidRPr="00B32542" w:rsidRDefault="00010BDA" w:rsidP="0017400F">
            <w:pPr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</w:pPr>
          </w:p>
        </w:tc>
        <w:tc>
          <w:tcPr>
            <w:tcW w:w="1982" w:type="dxa"/>
            <w:gridSpan w:val="2"/>
            <w:shd w:val="clear" w:color="auto" w:fill="548DD4" w:themeFill="text2" w:themeFillTint="99"/>
            <w:noWrap/>
            <w:vAlign w:val="center"/>
          </w:tcPr>
          <w:p w14:paraId="56EDAA6D" w14:textId="2E3D35AA" w:rsidR="00010BDA" w:rsidRPr="00B32542" w:rsidRDefault="00010BDA" w:rsidP="00F27A1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val="en-GB" w:eastAsia="en-AU"/>
              </w:rPr>
            </w:pPr>
            <w:r w:rsidRPr="00B32542">
              <w:rPr>
                <w:b/>
                <w:color w:val="FFFFFF" w:themeColor="background1"/>
                <w:lang w:val="en-GB" w:eastAsia="en-AU"/>
              </w:rPr>
              <w:t>Non-directional</w:t>
            </w:r>
          </w:p>
        </w:tc>
        <w:tc>
          <w:tcPr>
            <w:tcW w:w="2969" w:type="dxa"/>
            <w:gridSpan w:val="2"/>
            <w:shd w:val="clear" w:color="auto" w:fill="548DD4" w:themeFill="text2" w:themeFillTint="99"/>
            <w:vAlign w:val="center"/>
          </w:tcPr>
          <w:p w14:paraId="76AFF39B" w14:textId="7D4085C7" w:rsidR="00010BDA" w:rsidRPr="00B32542" w:rsidRDefault="00010BDA" w:rsidP="00F27A18">
            <w:pPr>
              <w:spacing w:after="0"/>
              <w:jc w:val="center"/>
              <w:rPr>
                <w:color w:val="FFFFFF" w:themeColor="background1"/>
                <w:lang w:val="en-GB" w:eastAsia="en-AU"/>
              </w:rPr>
            </w:pPr>
            <w:r w:rsidRPr="00B32542">
              <w:rPr>
                <w:b/>
                <w:color w:val="FFFFFF" w:themeColor="background1"/>
                <w:lang w:val="en-GB" w:eastAsia="en-AU"/>
              </w:rPr>
              <w:t>Directional</w:t>
            </w:r>
          </w:p>
        </w:tc>
        <w:tc>
          <w:tcPr>
            <w:tcW w:w="2943" w:type="dxa"/>
            <w:shd w:val="clear" w:color="auto" w:fill="548DD4" w:themeFill="text2" w:themeFillTint="99"/>
            <w:vAlign w:val="center"/>
          </w:tcPr>
          <w:p w14:paraId="5721839C" w14:textId="06017142" w:rsidR="00010BDA" w:rsidRPr="00B32542" w:rsidRDefault="00154718" w:rsidP="00F27A1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val="en-GB" w:eastAsia="en-AU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lang w:val="en-GB" w:eastAsia="en-AU"/>
              </w:rPr>
              <w:t>Linear LED tube</w:t>
            </w:r>
            <w:r w:rsidR="00621CBF">
              <w:rPr>
                <w:rFonts w:ascii="Calibri" w:eastAsia="Times New Roman" w:hAnsi="Calibri" w:cs="Times New Roman"/>
                <w:b/>
                <w:color w:val="FFFFFF" w:themeColor="background1"/>
                <w:lang w:val="en-GB" w:eastAsia="en-AU"/>
              </w:rPr>
              <w:t>s</w:t>
            </w:r>
          </w:p>
        </w:tc>
        <w:tc>
          <w:tcPr>
            <w:tcW w:w="2121" w:type="dxa"/>
            <w:gridSpan w:val="2"/>
            <w:shd w:val="clear" w:color="auto" w:fill="548DD4" w:themeFill="text2" w:themeFillTint="99"/>
            <w:vAlign w:val="center"/>
          </w:tcPr>
          <w:p w14:paraId="3BC2CCB7" w14:textId="64C08DF4" w:rsidR="00010BDA" w:rsidRPr="00B32542" w:rsidRDefault="00010BDA" w:rsidP="00F27A1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</w:pPr>
            <w:r w:rsidRPr="00B32542">
              <w:rPr>
                <w:rFonts w:ascii="Calibri" w:eastAsia="Times New Roman" w:hAnsi="Calibri" w:cs="Times New Roman"/>
                <w:b/>
                <w:color w:val="FFFFFF" w:themeColor="background1"/>
                <w:lang w:val="en-GB" w:eastAsia="en-AU"/>
              </w:rPr>
              <w:t>Small (&lt; 2500 lm)</w:t>
            </w:r>
          </w:p>
        </w:tc>
        <w:tc>
          <w:tcPr>
            <w:tcW w:w="3029" w:type="dxa"/>
            <w:shd w:val="clear" w:color="auto" w:fill="548DD4" w:themeFill="text2" w:themeFillTint="99"/>
            <w:vAlign w:val="center"/>
          </w:tcPr>
          <w:p w14:paraId="649B4ABA" w14:textId="59A95694" w:rsidR="00010BDA" w:rsidRPr="00B32542" w:rsidRDefault="00010BDA" w:rsidP="0090514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</w:pPr>
            <w:r w:rsidRPr="00B32542">
              <w:rPr>
                <w:rFonts w:ascii="Calibri" w:eastAsia="Times New Roman" w:hAnsi="Calibri" w:cs="Times New Roman"/>
                <w:b/>
                <w:color w:val="FFFFFF" w:themeColor="background1"/>
                <w:lang w:val="en-GB" w:eastAsia="en-AU"/>
              </w:rPr>
              <w:t xml:space="preserve">Large (2500 – 50000 lm) including planar, recessed, </w:t>
            </w:r>
            <w:r w:rsidR="00905149" w:rsidRPr="00B32542">
              <w:rPr>
                <w:rFonts w:ascii="Calibri" w:eastAsia="Times New Roman" w:hAnsi="Calibri" w:cs="Times New Roman"/>
                <w:b/>
                <w:color w:val="FFFFFF" w:themeColor="background1"/>
                <w:lang w:val="en-GB" w:eastAsia="en-AU"/>
              </w:rPr>
              <w:t xml:space="preserve">surface mount, </w:t>
            </w:r>
            <w:r w:rsidRPr="00B32542">
              <w:rPr>
                <w:rFonts w:ascii="Calibri" w:eastAsia="Times New Roman" w:hAnsi="Calibri" w:cs="Times New Roman"/>
                <w:b/>
                <w:color w:val="FFFFFF" w:themeColor="background1"/>
                <w:lang w:val="en-GB" w:eastAsia="en-AU"/>
              </w:rPr>
              <w:t>high bay and lo</w:t>
            </w:r>
            <w:r w:rsidR="00905149" w:rsidRPr="00B32542">
              <w:rPr>
                <w:rFonts w:ascii="Calibri" w:eastAsia="Times New Roman" w:hAnsi="Calibri" w:cs="Times New Roman"/>
                <w:b/>
                <w:color w:val="FFFFFF" w:themeColor="background1"/>
                <w:lang w:val="en-GB" w:eastAsia="en-AU"/>
              </w:rPr>
              <w:t>w bay</w:t>
            </w:r>
            <w:r w:rsidRPr="00B32542">
              <w:rPr>
                <w:rFonts w:ascii="Calibri" w:eastAsia="Times New Roman" w:hAnsi="Calibri" w:cs="Times New Roman"/>
                <w:b/>
                <w:color w:val="FFFFFF" w:themeColor="background1"/>
                <w:lang w:val="en-GB" w:eastAsia="en-AU"/>
              </w:rPr>
              <w:t xml:space="preserve"> </w:t>
            </w:r>
            <w:r w:rsidR="00905149" w:rsidRPr="00B32542">
              <w:rPr>
                <w:rFonts w:ascii="Calibri" w:eastAsia="Times New Roman" w:hAnsi="Calibri" w:cs="Times New Roman"/>
                <w:b/>
                <w:color w:val="FFFFFF" w:themeColor="background1"/>
                <w:lang w:val="en-GB" w:eastAsia="en-AU"/>
              </w:rPr>
              <w:t>luminaires</w:t>
            </w:r>
          </w:p>
        </w:tc>
      </w:tr>
      <w:tr w:rsidR="000D5DAE" w:rsidRPr="00B32542" w14:paraId="74CACD13" w14:textId="77777777" w:rsidTr="000D5DAE">
        <w:trPr>
          <w:trHeight w:val="274"/>
        </w:trPr>
        <w:tc>
          <w:tcPr>
            <w:tcW w:w="14740" w:type="dxa"/>
            <w:gridSpan w:val="9"/>
            <w:shd w:val="clear" w:color="auto" w:fill="C6D9F1" w:themeFill="text2" w:themeFillTint="33"/>
            <w:vAlign w:val="center"/>
          </w:tcPr>
          <w:p w14:paraId="40757308" w14:textId="4F98DB8F" w:rsidR="000D5DAE" w:rsidRPr="006E39D9" w:rsidRDefault="000D5DAE" w:rsidP="000D5DAE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 w:eastAsia="en-AU"/>
              </w:rPr>
            </w:pPr>
            <w:r w:rsidRPr="006E39D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 w:eastAsia="en-AU"/>
              </w:rPr>
              <w:t xml:space="preserve">Design of new building </w:t>
            </w:r>
          </w:p>
        </w:tc>
      </w:tr>
      <w:tr w:rsidR="00DB6F52" w:rsidRPr="00B32542" w14:paraId="5251EFAB" w14:textId="77777777" w:rsidTr="00E81653">
        <w:trPr>
          <w:trHeight w:val="461"/>
        </w:trPr>
        <w:tc>
          <w:tcPr>
            <w:tcW w:w="14740" w:type="dxa"/>
            <w:gridSpan w:val="9"/>
            <w:vAlign w:val="center"/>
            <w:hideMark/>
          </w:tcPr>
          <w:p w14:paraId="4C721D99" w14:textId="309205C6" w:rsidR="00DB6F52" w:rsidRDefault="00DB6F52" w:rsidP="00BD3049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</w:t>
            </w:r>
            <w:proofErr w:type="spellStart"/>
            <w:r w:rsidR="00596DA4">
              <w:rPr>
                <w:rFonts w:eastAsia="Times New Roman"/>
              </w:rPr>
              <w:t>voluntary</w:t>
            </w:r>
            <w:proofErr w:type="spellEnd"/>
            <w:r w:rsidR="00596DA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EU GPP</w:t>
            </w:r>
            <w:r w:rsidR="00BD3049">
              <w:rPr>
                <w:rStyle w:val="Odwoanieprzypisudolnego"/>
                <w:rFonts w:eastAsia="Times New Roman"/>
              </w:rPr>
              <w:footnoteReference w:id="2"/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new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lighting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whole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building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="00596DA4">
              <w:rPr>
                <w:rFonts w:eastAsia="Times New Roman"/>
              </w:rPr>
              <w:t>sets</w:t>
            </w:r>
            <w:proofErr w:type="spellEnd"/>
            <w:r w:rsidR="00596DA4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maximum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values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W/m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see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="00596DA4">
              <w:rPr>
                <w:rFonts w:eastAsia="Times New Roman"/>
              </w:rPr>
              <w:t>the</w:t>
            </w:r>
            <w:proofErr w:type="spellEnd"/>
            <w:r w:rsidR="00596DA4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table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below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with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values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different </w:t>
            </w:r>
            <w:proofErr w:type="spellStart"/>
            <w:r>
              <w:rPr>
                <w:rFonts w:eastAsia="Times New Roman"/>
              </w:rPr>
              <w:t>consumer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categories</w:t>
            </w:r>
            <w:proofErr w:type="spellEnd"/>
            <w:r>
              <w:rPr>
                <w:rFonts w:eastAsia="Times New Roman"/>
              </w:rPr>
              <w:t xml:space="preserve">). These </w:t>
            </w:r>
            <w:proofErr w:type="spellStart"/>
            <w:r w:rsidR="00596DA4">
              <w:rPr>
                <w:rFonts w:eastAsia="Times New Roman"/>
              </w:rPr>
              <w:t>v</w:t>
            </w:r>
            <w:r>
              <w:rPr>
                <w:rFonts w:eastAsia="Times New Roman"/>
              </w:rPr>
              <w:t>alues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installed</w:t>
            </w:r>
            <w:proofErr w:type="spellEnd"/>
            <w:r>
              <w:rPr>
                <w:rFonts w:eastAsia="Times New Roman"/>
              </w:rPr>
              <w:t xml:space="preserve"> power </w:t>
            </w:r>
            <w:proofErr w:type="spellStart"/>
            <w:r>
              <w:rPr>
                <w:rFonts w:eastAsia="Times New Roman"/>
              </w:rPr>
              <w:t>include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lamps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ballasts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drivers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control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gear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  <w:p w14:paraId="2F8E2D82" w14:textId="39361594" w:rsidR="00DB6F52" w:rsidRDefault="00DB6F52" w:rsidP="00BD3049">
            <w:pPr>
              <w:spacing w:before="60" w:after="60" w:line="240" w:lineRule="auto"/>
            </w:pP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lighting</w:t>
            </w:r>
            <w:proofErr w:type="spellEnd"/>
            <w:r>
              <w:t xml:space="preserve"> in a </w:t>
            </w:r>
            <w:proofErr w:type="spellStart"/>
            <w:r>
              <w:t>particular</w:t>
            </w:r>
            <w:proofErr w:type="spellEnd"/>
            <w:r>
              <w:t xml:space="preserve"> </w:t>
            </w:r>
            <w:proofErr w:type="spellStart"/>
            <w:r>
              <w:t>building</w:t>
            </w:r>
            <w:proofErr w:type="spellEnd"/>
            <w:r>
              <w:t xml:space="preserve"> </w:t>
            </w:r>
            <w:proofErr w:type="spellStart"/>
            <w:r>
              <w:t>space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maximum</w:t>
            </w:r>
            <w:proofErr w:type="spellEnd"/>
            <w:r>
              <w:t xml:space="preserve"> </w:t>
            </w:r>
            <w:proofErr w:type="spellStart"/>
            <w:r>
              <w:t>values</w:t>
            </w:r>
            <w:proofErr w:type="spellEnd"/>
            <w:r>
              <w:t xml:space="preserve"> </w:t>
            </w:r>
            <w:proofErr w:type="spellStart"/>
            <w:r w:rsidR="00596DA4">
              <w:t>set</w:t>
            </w:r>
            <w:proofErr w:type="spellEnd"/>
            <w:r w:rsidR="00596DA4"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W/(m</w:t>
            </w:r>
            <w:r>
              <w:rPr>
                <w:vertAlign w:val="superscript"/>
              </w:rPr>
              <w:t>2</w:t>
            </w:r>
            <w:r>
              <w:t>*(</w:t>
            </w:r>
            <w:proofErr w:type="spellStart"/>
            <w:r>
              <w:t>luminous</w:t>
            </w:r>
            <w:proofErr w:type="spellEnd"/>
            <w:r>
              <w:t xml:space="preserve"> </w:t>
            </w:r>
            <w:proofErr w:type="spellStart"/>
            <w:r>
              <w:t>flux</w:t>
            </w:r>
            <w:proofErr w:type="spellEnd"/>
            <w:r>
              <w:t xml:space="preserve">/100 </w:t>
            </w:r>
            <w:proofErr w:type="spellStart"/>
            <w:r>
              <w:t>lux</w:t>
            </w:r>
            <w:proofErr w:type="spellEnd"/>
            <w:r>
              <w:t xml:space="preserve">)) </w:t>
            </w:r>
            <w:proofErr w:type="spellStart"/>
            <w:r>
              <w:t>including</w:t>
            </w:r>
            <w:proofErr w:type="spellEnd"/>
            <w:r>
              <w:t xml:space="preserve"> </w:t>
            </w:r>
            <w:proofErr w:type="spellStart"/>
            <w:r>
              <w:t>lamps</w:t>
            </w:r>
            <w:proofErr w:type="spellEnd"/>
            <w:r>
              <w:t xml:space="preserve">, </w:t>
            </w:r>
            <w:proofErr w:type="spellStart"/>
            <w:r>
              <w:t>ballasts</w:t>
            </w:r>
            <w:proofErr w:type="spellEnd"/>
            <w:r>
              <w:t>/</w:t>
            </w:r>
            <w:proofErr w:type="spellStart"/>
            <w:r>
              <w:t>drivers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control</w:t>
            </w:r>
            <w:proofErr w:type="spellEnd"/>
            <w:r>
              <w:t xml:space="preserve"> </w:t>
            </w:r>
            <w:proofErr w:type="spellStart"/>
            <w:r>
              <w:t>gear</w:t>
            </w:r>
            <w:proofErr w:type="spellEnd"/>
            <w:r>
              <w:t>.</w:t>
            </w:r>
            <w:r w:rsidR="00596DA4">
              <w:t xml:space="preserve">  </w:t>
            </w:r>
            <w:r>
              <w:t xml:space="preserve"> E.g. </w:t>
            </w:r>
            <w:proofErr w:type="spellStart"/>
            <w:r>
              <w:t>for</w:t>
            </w:r>
            <w:proofErr w:type="spellEnd"/>
            <w:r>
              <w:t xml:space="preserve"> an  </w:t>
            </w:r>
            <w:proofErr w:type="spellStart"/>
            <w:r>
              <w:t>illumi</w:t>
            </w:r>
            <w:r>
              <w:softHyphen/>
              <w:t>nance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500 </w:t>
            </w:r>
            <w:proofErr w:type="spellStart"/>
            <w:r>
              <w:t>lux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maximum</w:t>
            </w:r>
            <w:proofErr w:type="spellEnd"/>
            <w:r>
              <w:t xml:space="preserve"> power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divided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floor</w:t>
            </w:r>
            <w:proofErr w:type="spellEnd"/>
            <w:r>
              <w:t xml:space="preserve"> </w:t>
            </w:r>
            <w:proofErr w:type="spellStart"/>
            <w:r>
              <w:t>area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5 (</w:t>
            </w:r>
            <w:r w:rsidR="00596DA4">
              <w:t xml:space="preserve">= </w:t>
            </w:r>
            <w:r>
              <w:t xml:space="preserve">500 </w:t>
            </w:r>
            <w:proofErr w:type="spellStart"/>
            <w:r>
              <w:t>lux</w:t>
            </w:r>
            <w:proofErr w:type="spellEnd"/>
            <w:r>
              <w:t xml:space="preserve">/100 </w:t>
            </w:r>
            <w:proofErr w:type="spellStart"/>
            <w:r>
              <w:t>lux</w:t>
            </w:r>
            <w:proofErr w:type="spellEnd"/>
            <w:r>
              <w:t xml:space="preserve">). See </w:t>
            </w:r>
            <w:proofErr w:type="spellStart"/>
            <w:r w:rsidR="00596DA4">
              <w:t>the</w:t>
            </w:r>
            <w:proofErr w:type="spellEnd"/>
            <w:r w:rsidR="00596DA4">
              <w:t xml:space="preserve"> </w:t>
            </w:r>
            <w:proofErr w:type="spellStart"/>
            <w:r>
              <w:t>table</w:t>
            </w:r>
            <w:proofErr w:type="spellEnd"/>
            <w:r>
              <w:t xml:space="preserve"> </w:t>
            </w:r>
            <w:proofErr w:type="spellStart"/>
            <w:r>
              <w:t>below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values</w:t>
            </w:r>
            <w:proofErr w:type="spellEnd"/>
            <w:r>
              <w:t>.</w:t>
            </w:r>
          </w:p>
          <w:p w14:paraId="3436218F" w14:textId="64E5D771" w:rsidR="00DB6F52" w:rsidRDefault="00BD3049" w:rsidP="00BD3049">
            <w:pPr>
              <w:spacing w:before="120" w:after="0" w:line="240" w:lineRule="auto"/>
            </w:pPr>
            <w:r>
              <w:rPr>
                <w:noProof/>
                <w:lang w:val="en-GB" w:eastAsia="en-GB"/>
              </w:rPr>
              <w:t xml:space="preserve">           </w:t>
            </w:r>
            <w:r w:rsidR="00DB6F52">
              <w:t> </w:t>
            </w:r>
            <w:r>
              <w:rPr>
                <w:noProof/>
                <w:lang w:val="pl-PL" w:eastAsia="pl-PL"/>
              </w:rPr>
              <w:drawing>
                <wp:inline distT="0" distB="0" distL="0" distR="0" wp14:anchorId="6086EA55" wp14:editId="32D8A861">
                  <wp:extent cx="3362960" cy="2631440"/>
                  <wp:effectExtent l="0" t="0" r="8890" b="0"/>
                  <wp:docPr id="4" name="Billede 4" descr="GPP indoor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" descr="GPP indoor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960" cy="263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F52">
              <w:t xml:space="preserve"> </w:t>
            </w:r>
            <w:r>
              <w:t xml:space="preserve">   </w:t>
            </w:r>
            <w:bookmarkStart w:id="1" w:name="_GoBack"/>
            <w:r>
              <w:t xml:space="preserve"> </w:t>
            </w:r>
            <w:bookmarkEnd w:id="1"/>
            <w:r>
              <w:t xml:space="preserve">                    </w:t>
            </w:r>
            <w:r w:rsidR="00DB6F52">
              <w:t xml:space="preserve">  </w:t>
            </w:r>
            <w:r w:rsidR="00DB6F52">
              <w:rPr>
                <w:noProof/>
                <w:lang w:val="pl-PL" w:eastAsia="pl-PL"/>
              </w:rPr>
              <w:drawing>
                <wp:inline distT="0" distB="0" distL="0" distR="0" wp14:anchorId="396EA250" wp14:editId="4EA2D1A0">
                  <wp:extent cx="4104640" cy="2733040"/>
                  <wp:effectExtent l="0" t="0" r="0" b="0"/>
                  <wp:docPr id="6" name="Billede 6" descr="GPP indoo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 descr="GPP indoor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640" cy="273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334E5C" w14:textId="5CC95F9C" w:rsidR="00DB6F52" w:rsidRPr="006E39D9" w:rsidRDefault="00BD3049" w:rsidP="00C8500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highlight w:val="lightGray"/>
                <w:lang w:val="en-GB" w:eastAsia="en-AU"/>
              </w:rPr>
            </w:pPr>
            <w:r w:rsidRPr="006E39D9">
              <w:rPr>
                <w:i/>
              </w:rPr>
              <w:t xml:space="preserve">                                  New </w:t>
            </w:r>
            <w:proofErr w:type="spellStart"/>
            <w:r w:rsidRPr="006E39D9">
              <w:rPr>
                <w:i/>
              </w:rPr>
              <w:t>lighting</w:t>
            </w:r>
            <w:proofErr w:type="spellEnd"/>
            <w:r w:rsidRPr="006E39D9">
              <w:rPr>
                <w:i/>
              </w:rPr>
              <w:t xml:space="preserve"> in </w:t>
            </w:r>
            <w:proofErr w:type="spellStart"/>
            <w:r w:rsidRPr="006E39D9">
              <w:rPr>
                <w:i/>
              </w:rPr>
              <w:t>the</w:t>
            </w:r>
            <w:proofErr w:type="spellEnd"/>
            <w:r w:rsidRPr="006E39D9">
              <w:rPr>
                <w:i/>
              </w:rPr>
              <w:t xml:space="preserve"> </w:t>
            </w:r>
            <w:proofErr w:type="spellStart"/>
            <w:r w:rsidRPr="006E39D9">
              <w:rPr>
                <w:i/>
              </w:rPr>
              <w:t>whole</w:t>
            </w:r>
            <w:proofErr w:type="spellEnd"/>
            <w:r w:rsidRPr="006E39D9">
              <w:rPr>
                <w:i/>
              </w:rPr>
              <w:t xml:space="preserve"> </w:t>
            </w:r>
            <w:proofErr w:type="spellStart"/>
            <w:r w:rsidRPr="006E39D9">
              <w:rPr>
                <w:i/>
              </w:rPr>
              <w:t>building</w:t>
            </w:r>
            <w:proofErr w:type="spellEnd"/>
            <w:r w:rsidRPr="006E39D9">
              <w:rPr>
                <w:i/>
              </w:rPr>
              <w:t xml:space="preserve">                                                                              New </w:t>
            </w:r>
            <w:proofErr w:type="spellStart"/>
            <w:r w:rsidRPr="006E39D9">
              <w:rPr>
                <w:i/>
              </w:rPr>
              <w:t>lighting</w:t>
            </w:r>
            <w:proofErr w:type="spellEnd"/>
            <w:r w:rsidRPr="006E39D9">
              <w:rPr>
                <w:i/>
              </w:rPr>
              <w:t xml:space="preserve"> in a </w:t>
            </w:r>
            <w:proofErr w:type="spellStart"/>
            <w:r w:rsidRPr="006E39D9">
              <w:rPr>
                <w:i/>
              </w:rPr>
              <w:t>particular</w:t>
            </w:r>
            <w:proofErr w:type="spellEnd"/>
            <w:r w:rsidRPr="006E39D9">
              <w:rPr>
                <w:i/>
              </w:rPr>
              <w:t xml:space="preserve"> </w:t>
            </w:r>
            <w:proofErr w:type="spellStart"/>
            <w:r w:rsidRPr="006E39D9">
              <w:rPr>
                <w:i/>
              </w:rPr>
              <w:t>building</w:t>
            </w:r>
            <w:proofErr w:type="spellEnd"/>
            <w:r w:rsidRPr="006E39D9">
              <w:rPr>
                <w:i/>
              </w:rPr>
              <w:t xml:space="preserve"> </w:t>
            </w:r>
            <w:proofErr w:type="spellStart"/>
            <w:r w:rsidRPr="006E39D9">
              <w:rPr>
                <w:i/>
              </w:rPr>
              <w:t>space</w:t>
            </w:r>
            <w:proofErr w:type="spellEnd"/>
            <w:r w:rsidRPr="006E39D9">
              <w:rPr>
                <w:i/>
              </w:rPr>
              <w:t xml:space="preserve"> </w:t>
            </w:r>
          </w:p>
        </w:tc>
      </w:tr>
      <w:tr w:rsidR="00B56863" w:rsidRPr="00B32542" w14:paraId="43F2E427" w14:textId="77777777" w:rsidTr="000D5DAE">
        <w:trPr>
          <w:trHeight w:val="274"/>
        </w:trPr>
        <w:tc>
          <w:tcPr>
            <w:tcW w:w="14740" w:type="dxa"/>
            <w:gridSpan w:val="9"/>
            <w:shd w:val="clear" w:color="auto" w:fill="C6D9F1" w:themeFill="text2" w:themeFillTint="33"/>
            <w:vAlign w:val="center"/>
          </w:tcPr>
          <w:p w14:paraId="530D6545" w14:textId="6E745281" w:rsidR="00B56863" w:rsidRPr="006E39D9" w:rsidRDefault="00B56863" w:rsidP="00932DE0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 w:eastAsia="en-AU"/>
              </w:rPr>
            </w:pPr>
            <w:r w:rsidRPr="006E39D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 w:eastAsia="en-AU"/>
              </w:rPr>
              <w:lastRenderedPageBreak/>
              <w:t>Energy Efficiency</w:t>
            </w:r>
          </w:p>
        </w:tc>
      </w:tr>
      <w:tr w:rsidR="00B56863" w:rsidRPr="00B32542" w14:paraId="407DE7A0" w14:textId="77777777" w:rsidTr="000D5DAE">
        <w:trPr>
          <w:trHeight w:val="461"/>
        </w:trPr>
        <w:tc>
          <w:tcPr>
            <w:tcW w:w="1696" w:type="dxa"/>
            <w:vAlign w:val="center"/>
            <w:hideMark/>
          </w:tcPr>
          <w:p w14:paraId="5F924B36" w14:textId="5E5A90EA" w:rsidR="00B56863" w:rsidRPr="00B32542" w:rsidRDefault="00B56863" w:rsidP="001105D4">
            <w:pPr>
              <w:spacing w:before="120" w:after="6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</w:pPr>
            <w:r w:rsidRPr="00B32542"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  <w:t>Efficacy</w:t>
            </w:r>
            <w:r w:rsidR="006A5A7C" w:rsidRPr="00B32542">
              <w:rPr>
                <w:rStyle w:val="Odwoanieprzypisudolnego"/>
                <w:rFonts w:ascii="Calibri" w:eastAsia="Times New Roman" w:hAnsi="Calibri" w:cs="Times New Roman"/>
                <w:b/>
                <w:color w:val="000000"/>
                <w:lang w:val="en-GB" w:eastAsia="en-AU"/>
              </w:rPr>
              <w:footnoteReference w:id="3"/>
            </w:r>
            <w:r w:rsidRPr="00B32542"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  <w:t xml:space="preserve"> </w:t>
            </w:r>
          </w:p>
        </w:tc>
        <w:tc>
          <w:tcPr>
            <w:tcW w:w="4951" w:type="dxa"/>
            <w:gridSpan w:val="4"/>
            <w:noWrap/>
            <w:vAlign w:val="center"/>
          </w:tcPr>
          <w:p w14:paraId="12C95B72" w14:textId="1A399770" w:rsidR="00B56863" w:rsidRPr="00B32542" w:rsidRDefault="005F21FE" w:rsidP="005F21FE">
            <w:pPr>
              <w:spacing w:before="120" w:after="60" w:line="240" w:lineRule="auto"/>
              <w:rPr>
                <w:rFonts w:ascii="Calibri" w:eastAsia="Times New Roman" w:hAnsi="Calibri" w:cs="Times New Roman"/>
                <w:color w:val="000000"/>
                <w:lang w:val="en-GB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         </w:t>
            </w:r>
            <w:r w:rsidR="00B56863"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≥</w:t>
            </w:r>
            <w:r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90</w:t>
            </w:r>
            <w:r w:rsidR="00B56863"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 lm/W</w:t>
            </w:r>
            <w:r w:rsidR="001105D4"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                               </w:t>
            </w: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≥</w:t>
            </w:r>
            <w:r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85</w:t>
            </w: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 lm/W   </w:t>
            </w:r>
          </w:p>
        </w:tc>
        <w:tc>
          <w:tcPr>
            <w:tcW w:w="2970" w:type="dxa"/>
            <w:gridSpan w:val="2"/>
            <w:vAlign w:val="center"/>
          </w:tcPr>
          <w:p w14:paraId="06B310AE" w14:textId="7BD15BB8" w:rsidR="00B56863" w:rsidRPr="00B32542" w:rsidRDefault="00B56863" w:rsidP="001105D4">
            <w:pPr>
              <w:spacing w:before="12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AU"/>
              </w:rPr>
            </w:pP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≥ 110  lm/W </w:t>
            </w:r>
            <w:r w:rsidR="0081113D"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      </w:t>
            </w:r>
          </w:p>
        </w:tc>
        <w:tc>
          <w:tcPr>
            <w:tcW w:w="2094" w:type="dxa"/>
            <w:vAlign w:val="center"/>
          </w:tcPr>
          <w:p w14:paraId="1EE91109" w14:textId="1FE6FF00" w:rsidR="00B56863" w:rsidRPr="00B32542" w:rsidRDefault="00B56863" w:rsidP="001105D4">
            <w:pPr>
              <w:spacing w:before="12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AU"/>
              </w:rPr>
            </w:pP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≥ 8</w:t>
            </w:r>
            <w:r w:rsidR="00F4247C"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0</w:t>
            </w: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 lm/W </w:t>
            </w:r>
          </w:p>
        </w:tc>
        <w:tc>
          <w:tcPr>
            <w:tcW w:w="3029" w:type="dxa"/>
            <w:vAlign w:val="center"/>
          </w:tcPr>
          <w:p w14:paraId="0DE5B5D8" w14:textId="2D548E62" w:rsidR="00B56863" w:rsidRPr="00B32542" w:rsidRDefault="00ED34D4" w:rsidP="001105D4">
            <w:pPr>
              <w:spacing w:before="12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  <w:lang w:val="en-GB" w:eastAsia="en-AU"/>
              </w:rPr>
            </w:pP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≥ 105</w:t>
            </w:r>
            <w:r w:rsidR="00B56863"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 lm/W </w:t>
            </w:r>
          </w:p>
        </w:tc>
      </w:tr>
      <w:tr w:rsidR="00AB2161" w:rsidRPr="00B32542" w14:paraId="36D31BE1" w14:textId="77777777" w:rsidTr="000D5DAE">
        <w:trPr>
          <w:trHeight w:val="3598"/>
        </w:trPr>
        <w:tc>
          <w:tcPr>
            <w:tcW w:w="1696" w:type="dxa"/>
            <w:hideMark/>
          </w:tcPr>
          <w:p w14:paraId="58C866AB" w14:textId="419E1AAE" w:rsidR="00AB2161" w:rsidRPr="00B32542" w:rsidRDefault="00AB2161" w:rsidP="00951FD7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</w:pPr>
            <w:r w:rsidRPr="00B32542"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  <w:t>Replacement</w:t>
            </w:r>
            <w:r w:rsidR="0084217C">
              <w:rPr>
                <w:rStyle w:val="Odwoanieprzypisudolnego"/>
                <w:rFonts w:ascii="Calibri" w:eastAsia="Times New Roman" w:hAnsi="Calibri" w:cs="Times New Roman"/>
                <w:b/>
                <w:color w:val="000000"/>
                <w:lang w:val="en-GB" w:eastAsia="en-AU"/>
              </w:rPr>
              <w:footnoteReference w:id="4"/>
            </w:r>
          </w:p>
          <w:p w14:paraId="3E81DD19" w14:textId="13201A53" w:rsidR="00AB2161" w:rsidRPr="00B32542" w:rsidRDefault="00AB2161" w:rsidP="005D7B8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AU"/>
              </w:rPr>
            </w:pP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Minimum Lumen output when claiming  equivale</w:t>
            </w:r>
            <w:r w:rsidR="00F340B1"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nce to</w:t>
            </w:r>
          </w:p>
          <w:p w14:paraId="292BE24B" w14:textId="71D72F76" w:rsidR="00AB2161" w:rsidRPr="00B32542" w:rsidRDefault="006C6079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AU"/>
              </w:rPr>
            </w:pP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Halogen</w:t>
            </w:r>
            <w:r w:rsidR="00AB2161"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 </w:t>
            </w:r>
            <w:r w:rsidR="006A5A7C"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or </w:t>
            </w:r>
            <w:r w:rsidR="00154718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LFL </w:t>
            </w:r>
            <w:r w:rsidR="005D7B8B"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 CFLs without ballast</w:t>
            </w:r>
            <w:r w:rsidR="009D6986"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 </w:t>
            </w:r>
            <w:r w:rsidR="00154718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are </w:t>
            </w:r>
            <w:r w:rsidR="009D6986"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not included</w:t>
            </w:r>
            <w:r w:rsidR="00154718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 due </w:t>
            </w:r>
            <w:r w:rsidR="00945E6F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to </w:t>
            </w:r>
            <w:r w:rsidR="0084217C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rather small lm/W </w:t>
            </w:r>
            <w:r w:rsidR="009D6986"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differen</w:t>
            </w:r>
            <w:r w:rsidR="009D6986"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softHyphen/>
              <w:t>ce</w:t>
            </w:r>
            <w:r w:rsidR="00154718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.</w:t>
            </w:r>
            <w:r w:rsidR="005D7B8B"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 </w:t>
            </w:r>
          </w:p>
        </w:tc>
        <w:tc>
          <w:tcPr>
            <w:tcW w:w="1982" w:type="dxa"/>
            <w:gridSpan w:val="2"/>
            <w:noWrap/>
            <w:hideMark/>
          </w:tcPr>
          <w:p w14:paraId="31AC780E" w14:textId="1B8A51EC" w:rsidR="00AB2161" w:rsidRPr="00B32542" w:rsidRDefault="00F44E62" w:rsidP="00951FD7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AU"/>
              </w:rPr>
            </w:pPr>
            <w:r w:rsidRPr="00B32542">
              <w:rPr>
                <w:rFonts w:ascii="Calibri" w:eastAsia="Times New Roman" w:hAnsi="Calibri" w:cs="Times New Roman"/>
                <w:noProof/>
                <w:color w:val="000000"/>
                <w:lang w:val="pl-PL" w:eastAsia="pl-PL"/>
              </w:rPr>
              <w:drawing>
                <wp:inline distT="0" distB="0" distL="0" distR="0" wp14:anchorId="1633AF25" wp14:editId="50F97171">
                  <wp:extent cx="906859" cy="2004234"/>
                  <wp:effectExtent l="0" t="0" r="7620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can flux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859" cy="2004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F4CC7">
              <w:rPr>
                <w:rStyle w:val="Odwoanieprzypisudolnego"/>
                <w:rFonts w:ascii="Calibri" w:eastAsia="Times New Roman" w:hAnsi="Calibri" w:cs="Times New Roman"/>
                <w:color w:val="000000"/>
                <w:lang w:val="en-GB" w:eastAsia="en-AU"/>
              </w:rPr>
              <w:footnoteReference w:id="5"/>
            </w:r>
          </w:p>
        </w:tc>
        <w:tc>
          <w:tcPr>
            <w:tcW w:w="2969" w:type="dxa"/>
            <w:gridSpan w:val="2"/>
          </w:tcPr>
          <w:p w14:paraId="0247D1E6" w14:textId="61D2B052" w:rsidR="00AB2161" w:rsidRPr="00B32542" w:rsidRDefault="00AB2161" w:rsidP="00951FD7">
            <w:pPr>
              <w:spacing w:before="120"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AU"/>
              </w:rPr>
            </w:pP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Percentage of </w:t>
            </w:r>
            <w:r w:rsidR="00ED4D7A"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halogen </w:t>
            </w: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lamp non-directional </w:t>
            </w:r>
            <w:r w:rsidR="00B32542"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equivalence required</w:t>
            </w: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 for the stated lamp shapes.</w:t>
            </w:r>
            <w:r w:rsidR="00164C96">
              <w:rPr>
                <w:rStyle w:val="Odwoanieprzypisudolnego"/>
                <w:rFonts w:ascii="Calibri" w:eastAsia="Times New Roman" w:hAnsi="Calibri" w:cs="Times New Roman"/>
                <w:color w:val="000000"/>
                <w:lang w:val="en-GB" w:eastAsia="en-AU"/>
              </w:rPr>
              <w:footnoteReference w:id="6"/>
            </w:r>
          </w:p>
          <w:tbl>
            <w:tblPr>
              <w:tblW w:w="258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60"/>
              <w:gridCol w:w="826"/>
            </w:tblGrid>
            <w:tr w:rsidR="00AB2161" w:rsidRPr="00B32542" w14:paraId="64C84B9C" w14:textId="77777777" w:rsidTr="003F2B97">
              <w:trPr>
                <w:trHeight w:val="304"/>
                <w:jc w:val="center"/>
              </w:trPr>
              <w:tc>
                <w:tcPr>
                  <w:tcW w:w="17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76D146" w14:textId="77777777" w:rsidR="00AB2161" w:rsidRPr="00B32542" w:rsidRDefault="00AB2161" w:rsidP="00951FD7">
                  <w:pPr>
                    <w:spacing w:before="60"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GB" w:eastAsia="en-AU"/>
                    </w:rPr>
                  </w:pPr>
                  <w:r w:rsidRPr="00B32542">
                    <w:rPr>
                      <w:rFonts w:ascii="Calibri" w:eastAsia="Times New Roman" w:hAnsi="Calibri" w:cs="Times New Roman"/>
                      <w:color w:val="000000"/>
                      <w:lang w:val="en-GB" w:eastAsia="en-AU"/>
                    </w:rPr>
                    <w:t>MR11</w:t>
                  </w:r>
                </w:p>
              </w:tc>
              <w:tc>
                <w:tcPr>
                  <w:tcW w:w="8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473BA7" w14:textId="09EBF7A0" w:rsidR="00AB2161" w:rsidRPr="00B32542" w:rsidRDefault="0082137B" w:rsidP="00951FD7">
                  <w:pPr>
                    <w:spacing w:before="60"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GB" w:eastAsia="en-A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en-GB" w:eastAsia="en-AU"/>
                    </w:rPr>
                    <w:t>8</w:t>
                  </w:r>
                  <w:r w:rsidR="00AB2161" w:rsidRPr="00B32542">
                    <w:rPr>
                      <w:rFonts w:ascii="Calibri" w:eastAsia="Times New Roman" w:hAnsi="Calibri" w:cs="Times New Roman"/>
                      <w:color w:val="000000"/>
                      <w:lang w:val="en-GB" w:eastAsia="en-AU"/>
                    </w:rPr>
                    <w:t>0%</w:t>
                  </w:r>
                </w:p>
              </w:tc>
            </w:tr>
            <w:tr w:rsidR="00AB2161" w:rsidRPr="00B32542" w14:paraId="40DA0EAC" w14:textId="77777777" w:rsidTr="003F2B97">
              <w:trPr>
                <w:trHeight w:val="304"/>
                <w:jc w:val="center"/>
              </w:trPr>
              <w:tc>
                <w:tcPr>
                  <w:tcW w:w="1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09869F" w14:textId="77777777" w:rsidR="00AB2161" w:rsidRPr="00B32542" w:rsidRDefault="00AB2161" w:rsidP="00951FD7">
                  <w:pPr>
                    <w:spacing w:before="60"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GB" w:eastAsia="en-AU"/>
                    </w:rPr>
                  </w:pPr>
                  <w:r w:rsidRPr="00B32542">
                    <w:rPr>
                      <w:rFonts w:ascii="Calibri" w:eastAsia="Times New Roman" w:hAnsi="Calibri" w:cs="Times New Roman"/>
                      <w:color w:val="000000"/>
                      <w:lang w:val="en-GB" w:eastAsia="en-AU"/>
                    </w:rPr>
                    <w:t>MR16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7E71A1" w14:textId="3400B3E2" w:rsidR="00AB2161" w:rsidRPr="00B32542" w:rsidRDefault="0082137B" w:rsidP="00951FD7">
                  <w:pPr>
                    <w:spacing w:before="60"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GB" w:eastAsia="en-A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en-GB" w:eastAsia="en-AU"/>
                    </w:rPr>
                    <w:t>8</w:t>
                  </w:r>
                  <w:r w:rsidR="00AB2161" w:rsidRPr="00B32542">
                    <w:rPr>
                      <w:rFonts w:ascii="Calibri" w:eastAsia="Times New Roman" w:hAnsi="Calibri" w:cs="Times New Roman"/>
                      <w:color w:val="000000"/>
                      <w:lang w:val="en-GB" w:eastAsia="en-AU"/>
                    </w:rPr>
                    <w:t>0%</w:t>
                  </w:r>
                </w:p>
              </w:tc>
            </w:tr>
            <w:tr w:rsidR="00AB2161" w:rsidRPr="00B32542" w14:paraId="2D9BB41D" w14:textId="77777777" w:rsidTr="003F2B97">
              <w:trPr>
                <w:trHeight w:val="304"/>
                <w:jc w:val="center"/>
              </w:trPr>
              <w:tc>
                <w:tcPr>
                  <w:tcW w:w="1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71A684" w14:textId="77777777" w:rsidR="00AB2161" w:rsidRPr="00B32542" w:rsidRDefault="00AB2161" w:rsidP="00951FD7">
                  <w:pPr>
                    <w:spacing w:before="60"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GB" w:eastAsia="en-AU"/>
                    </w:rPr>
                  </w:pPr>
                  <w:r w:rsidRPr="00B32542">
                    <w:rPr>
                      <w:rFonts w:ascii="Calibri" w:eastAsia="Times New Roman" w:hAnsi="Calibri" w:cs="Times New Roman"/>
                      <w:color w:val="000000"/>
                      <w:lang w:val="en-GB" w:eastAsia="en-AU"/>
                    </w:rPr>
                    <w:t>AR-111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0DDB1E" w14:textId="1A01B008" w:rsidR="00AB2161" w:rsidRPr="00B32542" w:rsidRDefault="00AB2161" w:rsidP="00951FD7">
                  <w:pPr>
                    <w:spacing w:before="60"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GB" w:eastAsia="en-AU"/>
                    </w:rPr>
                  </w:pPr>
                  <w:r w:rsidRPr="00B32542">
                    <w:rPr>
                      <w:rFonts w:ascii="Calibri" w:eastAsia="Times New Roman" w:hAnsi="Calibri" w:cs="Times New Roman"/>
                      <w:color w:val="000000"/>
                      <w:lang w:val="en-GB" w:eastAsia="en-AU"/>
                    </w:rPr>
                    <w:t>7</w:t>
                  </w:r>
                  <w:r w:rsidR="0082137B">
                    <w:rPr>
                      <w:rFonts w:ascii="Calibri" w:eastAsia="Times New Roman" w:hAnsi="Calibri" w:cs="Times New Roman"/>
                      <w:color w:val="000000"/>
                      <w:lang w:val="en-GB" w:eastAsia="en-AU"/>
                    </w:rPr>
                    <w:t>0</w:t>
                  </w:r>
                  <w:r w:rsidRPr="00B32542">
                    <w:rPr>
                      <w:rFonts w:ascii="Calibri" w:eastAsia="Times New Roman" w:hAnsi="Calibri" w:cs="Times New Roman"/>
                      <w:color w:val="000000"/>
                      <w:lang w:val="en-GB" w:eastAsia="en-AU"/>
                    </w:rPr>
                    <w:t>%</w:t>
                  </w:r>
                </w:p>
              </w:tc>
            </w:tr>
            <w:tr w:rsidR="00AB2161" w:rsidRPr="00B32542" w14:paraId="03A78E97" w14:textId="77777777" w:rsidTr="003F2B97">
              <w:trPr>
                <w:trHeight w:val="304"/>
                <w:jc w:val="center"/>
              </w:trPr>
              <w:tc>
                <w:tcPr>
                  <w:tcW w:w="1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598870" w14:textId="77777777" w:rsidR="00AB2161" w:rsidRPr="00B32542" w:rsidRDefault="00AB2161" w:rsidP="00951FD7">
                  <w:pPr>
                    <w:spacing w:before="60"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GB" w:eastAsia="en-AU"/>
                    </w:rPr>
                  </w:pPr>
                  <w:r w:rsidRPr="00B32542">
                    <w:rPr>
                      <w:rFonts w:ascii="Calibri" w:eastAsia="Times New Roman" w:hAnsi="Calibri" w:cs="Times New Roman"/>
                      <w:color w:val="000000"/>
                      <w:lang w:val="en-GB" w:eastAsia="en-AU"/>
                    </w:rPr>
                    <w:t>R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D40A9B" w14:textId="4DCAEEF5" w:rsidR="00AB2161" w:rsidRPr="00B32542" w:rsidRDefault="0082137B" w:rsidP="00951FD7">
                  <w:pPr>
                    <w:spacing w:before="60"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GB" w:eastAsia="en-A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en-GB" w:eastAsia="en-AU"/>
                    </w:rPr>
                    <w:t>4</w:t>
                  </w:r>
                  <w:r w:rsidR="00AB2161" w:rsidRPr="00B32542">
                    <w:rPr>
                      <w:rFonts w:ascii="Calibri" w:eastAsia="Times New Roman" w:hAnsi="Calibri" w:cs="Times New Roman"/>
                      <w:color w:val="000000"/>
                      <w:lang w:val="en-GB" w:eastAsia="en-AU"/>
                    </w:rPr>
                    <w:t>5%</w:t>
                  </w:r>
                </w:p>
              </w:tc>
            </w:tr>
            <w:tr w:rsidR="00AB2161" w:rsidRPr="00B32542" w14:paraId="0AAE0F49" w14:textId="77777777" w:rsidTr="003F2B97">
              <w:trPr>
                <w:trHeight w:val="304"/>
                <w:jc w:val="center"/>
              </w:trPr>
              <w:tc>
                <w:tcPr>
                  <w:tcW w:w="1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15E5C3" w14:textId="77777777" w:rsidR="00AB2161" w:rsidRPr="00B32542" w:rsidRDefault="00AB2161" w:rsidP="00951FD7">
                  <w:pPr>
                    <w:spacing w:before="60"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GB" w:eastAsia="en-AU"/>
                    </w:rPr>
                  </w:pPr>
                  <w:r w:rsidRPr="00B32542">
                    <w:rPr>
                      <w:rFonts w:ascii="Calibri" w:eastAsia="Times New Roman" w:hAnsi="Calibri" w:cs="Times New Roman"/>
                      <w:color w:val="000000"/>
                      <w:lang w:val="en-GB" w:eastAsia="en-AU"/>
                    </w:rPr>
                    <w:t>PAR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1C3871" w14:textId="7D3E14DA" w:rsidR="00AB2161" w:rsidRPr="00B32542" w:rsidRDefault="00AB2161" w:rsidP="00951FD7">
                  <w:pPr>
                    <w:spacing w:before="60"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GB" w:eastAsia="en-AU"/>
                    </w:rPr>
                  </w:pPr>
                  <w:r w:rsidRPr="00B32542">
                    <w:rPr>
                      <w:rFonts w:ascii="Calibri" w:eastAsia="Times New Roman" w:hAnsi="Calibri" w:cs="Times New Roman"/>
                      <w:color w:val="000000"/>
                      <w:lang w:val="en-GB" w:eastAsia="en-AU"/>
                    </w:rPr>
                    <w:t>6</w:t>
                  </w:r>
                  <w:r w:rsidR="0082137B">
                    <w:rPr>
                      <w:rFonts w:ascii="Calibri" w:eastAsia="Times New Roman" w:hAnsi="Calibri" w:cs="Times New Roman"/>
                      <w:color w:val="000000"/>
                      <w:lang w:val="en-GB" w:eastAsia="en-AU"/>
                    </w:rPr>
                    <w:t>0</w:t>
                  </w:r>
                  <w:r w:rsidRPr="00B32542">
                    <w:rPr>
                      <w:rFonts w:ascii="Calibri" w:eastAsia="Times New Roman" w:hAnsi="Calibri" w:cs="Times New Roman"/>
                      <w:color w:val="000000"/>
                      <w:lang w:val="en-GB" w:eastAsia="en-AU"/>
                    </w:rPr>
                    <w:t>%</w:t>
                  </w:r>
                </w:p>
              </w:tc>
            </w:tr>
            <w:tr w:rsidR="00AB2161" w:rsidRPr="00B32542" w14:paraId="5A246067" w14:textId="77777777" w:rsidTr="003F2B97">
              <w:trPr>
                <w:trHeight w:val="435"/>
                <w:jc w:val="center"/>
              </w:trPr>
              <w:tc>
                <w:tcPr>
                  <w:tcW w:w="17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D1AE4" w14:textId="4CDD8300" w:rsidR="00AB2161" w:rsidRPr="00B32542" w:rsidRDefault="00AB2161" w:rsidP="00951FD7">
                  <w:pPr>
                    <w:spacing w:before="60"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GB" w:eastAsia="en-AU"/>
                    </w:rPr>
                  </w:pPr>
                  <w:r w:rsidRPr="00B32542">
                    <w:rPr>
                      <w:rFonts w:ascii="Calibri" w:eastAsia="Times New Roman" w:hAnsi="Calibri" w:cs="Times New Roman"/>
                      <w:color w:val="000000"/>
                      <w:lang w:val="en-GB" w:eastAsia="en-AU"/>
                    </w:rPr>
                    <w:t>R7</w:t>
                  </w:r>
                  <w:r w:rsidR="00F340B1" w:rsidRPr="00B32542">
                    <w:rPr>
                      <w:rFonts w:ascii="Calibri" w:eastAsia="Times New Roman" w:hAnsi="Calibri" w:cs="Times New Roman"/>
                      <w:color w:val="000000"/>
                      <w:lang w:val="en-GB" w:eastAsia="en-AU"/>
                    </w:rPr>
                    <w:t>s</w:t>
                  </w:r>
                  <w:r w:rsidRPr="00B32542">
                    <w:rPr>
                      <w:rFonts w:ascii="Calibri" w:eastAsia="Times New Roman" w:hAnsi="Calibri" w:cs="Times New Roman"/>
                      <w:color w:val="000000"/>
                      <w:lang w:val="en-GB" w:eastAsia="en-AU"/>
                    </w:rPr>
                    <w:t xml:space="preserve"> (forward</w:t>
                  </w:r>
                  <w:r w:rsidR="00F340B1" w:rsidRPr="00B32542">
                    <w:rPr>
                      <w:rFonts w:ascii="Calibri" w:eastAsia="Times New Roman" w:hAnsi="Calibri" w:cs="Times New Roman"/>
                      <w:color w:val="000000"/>
                      <w:lang w:val="en-GB" w:eastAsia="en-AU"/>
                    </w:rPr>
                    <w:t>)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4D7F96" w14:textId="572CBE18" w:rsidR="00AB2161" w:rsidRPr="00B32542" w:rsidRDefault="0082137B" w:rsidP="00951FD7">
                  <w:pPr>
                    <w:spacing w:before="60"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GB" w:eastAsia="en-A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en-GB" w:eastAsia="en-AU"/>
                    </w:rPr>
                    <w:t>55</w:t>
                  </w:r>
                  <w:r w:rsidR="00AB2161" w:rsidRPr="00B32542">
                    <w:rPr>
                      <w:rFonts w:ascii="Calibri" w:eastAsia="Times New Roman" w:hAnsi="Calibri" w:cs="Times New Roman"/>
                      <w:color w:val="000000"/>
                      <w:lang w:val="en-GB" w:eastAsia="en-AU"/>
                    </w:rPr>
                    <w:t>%</w:t>
                  </w:r>
                </w:p>
              </w:tc>
            </w:tr>
          </w:tbl>
          <w:p w14:paraId="7BF51A36" w14:textId="77777777" w:rsidR="00AB2161" w:rsidRPr="00B32542" w:rsidRDefault="00AB2161" w:rsidP="00951FD7">
            <w:pPr>
              <w:spacing w:before="120"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AU"/>
              </w:rPr>
            </w:pPr>
          </w:p>
        </w:tc>
        <w:tc>
          <w:tcPr>
            <w:tcW w:w="2970" w:type="dxa"/>
            <w:gridSpan w:val="2"/>
          </w:tcPr>
          <w:p w14:paraId="05C9E4C8" w14:textId="77429A37" w:rsidR="00945E6F" w:rsidRPr="00945E6F" w:rsidRDefault="00945E6F" w:rsidP="00945E6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object w:dxaOrig="2940" w:dyaOrig="2064" w14:anchorId="6483F4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1pt;height:96.85pt" o:ole="">
                  <v:imagedata r:id="rId24" o:title=""/>
                </v:shape>
                <o:OLEObject Type="Embed" ProgID="PBrush" ShapeID="_x0000_i1025" DrawAspect="Content" ObjectID="_1545459152" r:id="rId25"/>
              </w:object>
            </w:r>
            <w:r w:rsidR="00621CBF">
              <w:rPr>
                <w:rStyle w:val="Odwoanieprzypisudolnego"/>
              </w:rPr>
              <w:footnoteReference w:id="7"/>
            </w:r>
          </w:p>
          <w:p w14:paraId="6B01224F" w14:textId="19E76BE7" w:rsidR="00AB2161" w:rsidRPr="00B32542" w:rsidRDefault="00AB2161" w:rsidP="00621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AU"/>
              </w:rPr>
            </w:pP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Only lamps w</w:t>
            </w:r>
            <w:r w:rsidR="00945E6F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ith </w:t>
            </w: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360° emission along the length must be labelled as “Retrofit” as they matches the emission pattern and </w:t>
            </w:r>
            <w:r w:rsidR="00621CBF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optical LFL</w:t>
            </w:r>
            <w:r w:rsidR="00945E6F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 </w:t>
            </w: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performance</w:t>
            </w:r>
            <w:r w:rsidR="00945E6F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.</w:t>
            </w:r>
          </w:p>
        </w:tc>
        <w:tc>
          <w:tcPr>
            <w:tcW w:w="5123" w:type="dxa"/>
            <w:gridSpan w:val="2"/>
          </w:tcPr>
          <w:p w14:paraId="7514B791" w14:textId="3D44B739" w:rsidR="00AB2161" w:rsidRPr="00B32542" w:rsidRDefault="00AB2161" w:rsidP="00951FD7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  <w:lang w:val="en-GB" w:eastAsia="en-AU"/>
              </w:rPr>
            </w:pPr>
            <w:r w:rsidRPr="00B32542">
              <w:rPr>
                <w:rFonts w:ascii="Calibri" w:hAnsi="Calibri"/>
                <w:lang w:val="en-GB"/>
              </w:rPr>
              <w:t xml:space="preserve">When </w:t>
            </w:r>
            <w:r w:rsidR="00B32542" w:rsidRPr="00B32542">
              <w:rPr>
                <w:rFonts w:ascii="Calibri" w:hAnsi="Calibri"/>
                <w:lang w:val="en-GB"/>
              </w:rPr>
              <w:t>claiming equivalence</w:t>
            </w:r>
            <w:r w:rsidRPr="00B32542">
              <w:rPr>
                <w:rFonts w:ascii="Calibri" w:hAnsi="Calibri"/>
                <w:lang w:val="en-GB"/>
              </w:rPr>
              <w:t xml:space="preserve"> to a specific lamp based fixture, the integrated LED luminaire must meet </w:t>
            </w:r>
            <w:r w:rsidRPr="00B32542">
              <w:rPr>
                <w:rFonts w:ascii="Calibri" w:hAnsi="Calibri"/>
                <w:color w:val="000000"/>
                <w:lang w:val="en-GB"/>
              </w:rPr>
              <w:t>minimum lumen output provided by the lamps.</w:t>
            </w:r>
          </w:p>
        </w:tc>
      </w:tr>
      <w:tr w:rsidR="00B56863" w:rsidRPr="00B32542" w14:paraId="2B6EE690" w14:textId="77777777" w:rsidTr="000D5DAE">
        <w:trPr>
          <w:trHeight w:val="363"/>
        </w:trPr>
        <w:tc>
          <w:tcPr>
            <w:tcW w:w="1696" w:type="dxa"/>
            <w:vAlign w:val="center"/>
            <w:hideMark/>
          </w:tcPr>
          <w:p w14:paraId="115206EF" w14:textId="23215F34" w:rsidR="00B56863" w:rsidRPr="00B32542" w:rsidRDefault="00B56863" w:rsidP="00851FC0">
            <w:pPr>
              <w:spacing w:before="80" w:after="60"/>
              <w:rPr>
                <w:rFonts w:ascii="Calibri" w:eastAsia="Times New Roman" w:hAnsi="Calibri" w:cs="Times New Roman"/>
                <w:color w:val="000000"/>
                <w:lang w:val="en-GB" w:eastAsia="en-AU"/>
              </w:rPr>
            </w:pPr>
            <w:r w:rsidRPr="00B32542"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  <w:t>Standby Power</w:t>
            </w:r>
            <w:r w:rsidRPr="00B32542">
              <w:rPr>
                <w:rStyle w:val="Odwoanieprzypisudolnego"/>
                <w:rFonts w:ascii="Calibri" w:eastAsia="Times New Roman" w:hAnsi="Calibri" w:cs="Times New Roman"/>
                <w:color w:val="000000"/>
                <w:lang w:val="en-GB" w:eastAsia="en-AU"/>
              </w:rPr>
              <w:footnoteReference w:id="8"/>
            </w:r>
          </w:p>
        </w:tc>
        <w:tc>
          <w:tcPr>
            <w:tcW w:w="13044" w:type="dxa"/>
            <w:gridSpan w:val="8"/>
            <w:noWrap/>
            <w:vAlign w:val="center"/>
            <w:hideMark/>
          </w:tcPr>
          <w:p w14:paraId="60941177" w14:textId="28665EC7" w:rsidR="00B56863" w:rsidRPr="00B32542" w:rsidDel="002F1DCA" w:rsidRDefault="00B56863" w:rsidP="00C04507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highlight w:val="lightGray"/>
                <w:lang w:val="en-GB" w:eastAsia="en-AU"/>
              </w:rPr>
            </w:pP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ab/>
            </w: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ab/>
            </w: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ab/>
              <w:t xml:space="preserve">                                                        &lt; 0.5W  </w:t>
            </w:r>
            <w:r w:rsidR="001105D4"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and preferable </w:t>
            </w:r>
            <w:r w:rsidR="00B36B5F"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&lt; 0.3</w:t>
            </w: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W </w:t>
            </w:r>
          </w:p>
        </w:tc>
      </w:tr>
      <w:tr w:rsidR="00B56863" w:rsidRPr="00B32542" w14:paraId="4E44D52C" w14:textId="77777777" w:rsidTr="000D5DAE">
        <w:trPr>
          <w:trHeight w:val="274"/>
        </w:trPr>
        <w:tc>
          <w:tcPr>
            <w:tcW w:w="14740" w:type="dxa"/>
            <w:gridSpan w:val="9"/>
            <w:shd w:val="clear" w:color="auto" w:fill="C6D9F1" w:themeFill="text2" w:themeFillTint="33"/>
            <w:vAlign w:val="center"/>
          </w:tcPr>
          <w:p w14:paraId="71DD34F0" w14:textId="5AE7210A" w:rsidR="00B56863" w:rsidRPr="006E39D9" w:rsidRDefault="00B56863" w:rsidP="00932DE0">
            <w:pPr>
              <w:spacing w:before="120" w:after="12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 w:eastAsia="en-AU"/>
              </w:rPr>
            </w:pPr>
            <w:r w:rsidRPr="006E39D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 w:eastAsia="en-AU"/>
              </w:rPr>
              <w:lastRenderedPageBreak/>
              <w:t>Colour</w:t>
            </w:r>
          </w:p>
        </w:tc>
      </w:tr>
      <w:tr w:rsidR="00B56863" w:rsidRPr="00B32542" w14:paraId="19BC79F4" w14:textId="77777777" w:rsidTr="000D5DAE">
        <w:trPr>
          <w:trHeight w:val="606"/>
        </w:trPr>
        <w:tc>
          <w:tcPr>
            <w:tcW w:w="1696" w:type="dxa"/>
            <w:vAlign w:val="center"/>
            <w:hideMark/>
          </w:tcPr>
          <w:p w14:paraId="1A99A3BA" w14:textId="77777777" w:rsidR="00B56863" w:rsidRPr="00B32542" w:rsidRDefault="00B56863" w:rsidP="00932DE0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</w:pPr>
            <w:r w:rsidRPr="00B32542"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  <w:t>Colour Rendering</w:t>
            </w:r>
          </w:p>
        </w:tc>
        <w:tc>
          <w:tcPr>
            <w:tcW w:w="13044" w:type="dxa"/>
            <w:gridSpan w:val="8"/>
            <w:noWrap/>
            <w:vAlign w:val="center"/>
            <w:hideMark/>
          </w:tcPr>
          <w:p w14:paraId="435D7DAC" w14:textId="77777777" w:rsidR="001F647C" w:rsidRPr="00B32542" w:rsidRDefault="00B56863" w:rsidP="001F647C">
            <w:pPr>
              <w:spacing w:after="0"/>
              <w:rPr>
                <w:rFonts w:ascii="Calibri" w:eastAsia="Times New Roman" w:hAnsi="Calibri" w:cs="Times New Roman"/>
                <w:color w:val="000000"/>
                <w:lang w:val="en-GB" w:eastAsia="en-AU"/>
              </w:rPr>
            </w:pP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                                                                                                    Ra ≥ 80</w:t>
            </w:r>
            <w:r w:rsidR="001F647C"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. </w:t>
            </w:r>
            <w:r w:rsidR="002B0396"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 </w:t>
            </w:r>
          </w:p>
          <w:p w14:paraId="5B9C6430" w14:textId="02247775" w:rsidR="00B56863" w:rsidRPr="00B32542" w:rsidRDefault="001F647C" w:rsidP="006C607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  <w:lang w:val="en-GB" w:eastAsia="en-AU"/>
              </w:rPr>
            </w:pP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In </w:t>
            </w:r>
            <w:r w:rsidR="007D1198"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a </w:t>
            </w: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working situation </w:t>
            </w:r>
            <w:r w:rsidR="002B0396"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where </w:t>
            </w: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c</w:t>
            </w:r>
            <w:r w:rsidR="002B0396"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olour rendering is </w:t>
            </w: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very </w:t>
            </w:r>
            <w:r w:rsidR="002B0396"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important</w:t>
            </w:r>
            <w:r w:rsidR="006C6079"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 it</w:t>
            </w: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 is recommended to require </w:t>
            </w:r>
            <w:r w:rsidRPr="00B32542">
              <w:rPr>
                <w:lang w:val="en-GB"/>
              </w:rPr>
              <w:t>Ra</w:t>
            </w: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≥85 </w:t>
            </w:r>
            <w:r w:rsidR="00951FD7"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or </w:t>
            </w:r>
            <w:r w:rsidR="006C6079" w:rsidRPr="00B32542">
              <w:rPr>
                <w:lang w:val="en-GB"/>
              </w:rPr>
              <w:t>Ra</w:t>
            </w:r>
            <w:r w:rsidR="006C6079"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≥</w:t>
            </w:r>
            <w:r w:rsidR="00951FD7"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90 plus </w:t>
            </w: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R</w:t>
            </w:r>
            <w:r w:rsidRPr="00B32542">
              <w:rPr>
                <w:rFonts w:ascii="Calibri" w:eastAsia="Times New Roman" w:hAnsi="Calibri" w:cs="Times New Roman"/>
                <w:color w:val="000000"/>
                <w:vertAlign w:val="subscript"/>
                <w:lang w:val="en-GB" w:eastAsia="en-AU"/>
              </w:rPr>
              <w:t>9</w:t>
            </w: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&gt;0</w:t>
            </w:r>
            <w:r w:rsidR="00BE3171"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 </w:t>
            </w:r>
            <w:r w:rsidR="00BE3171" w:rsidRPr="00B32542">
              <w:rPr>
                <w:rStyle w:val="Odwoanieprzypisudolnego"/>
                <w:rFonts w:ascii="Calibri" w:eastAsia="Times New Roman" w:hAnsi="Calibri" w:cs="Times New Roman"/>
                <w:color w:val="000000"/>
                <w:lang w:val="en-GB" w:eastAsia="en-AU"/>
              </w:rPr>
              <w:footnoteReference w:id="9"/>
            </w: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.</w:t>
            </w:r>
            <w:r w:rsidR="00951FD7"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 </w:t>
            </w:r>
          </w:p>
        </w:tc>
      </w:tr>
      <w:tr w:rsidR="00B56863" w:rsidRPr="00B32542" w14:paraId="39B43FD9" w14:textId="77777777" w:rsidTr="000D5DAE">
        <w:trPr>
          <w:trHeight w:val="4331"/>
        </w:trPr>
        <w:tc>
          <w:tcPr>
            <w:tcW w:w="1696" w:type="dxa"/>
            <w:vAlign w:val="center"/>
            <w:hideMark/>
          </w:tcPr>
          <w:p w14:paraId="4798955C" w14:textId="77777777" w:rsidR="00EA5A1A" w:rsidRDefault="00EA5A1A" w:rsidP="00EA5A1A">
            <w:pPr>
              <w:spacing w:before="120" w:after="120"/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</w:pPr>
          </w:p>
          <w:p w14:paraId="43A6BDAB" w14:textId="77777777" w:rsidR="00EA5A1A" w:rsidRDefault="00EA5A1A" w:rsidP="00EA5A1A">
            <w:pPr>
              <w:spacing w:before="120" w:after="120"/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</w:pPr>
          </w:p>
          <w:p w14:paraId="6EC71B64" w14:textId="77777777" w:rsidR="00EA5A1A" w:rsidRDefault="00EA5A1A" w:rsidP="00EA5A1A">
            <w:pPr>
              <w:spacing w:before="120" w:after="120"/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</w:pPr>
          </w:p>
          <w:p w14:paraId="6772B619" w14:textId="77777777" w:rsidR="00EA5A1A" w:rsidRDefault="00EA5A1A" w:rsidP="00EA5A1A">
            <w:pPr>
              <w:spacing w:before="120" w:after="120"/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</w:pPr>
          </w:p>
          <w:p w14:paraId="03525BAE" w14:textId="77777777" w:rsidR="00EA5A1A" w:rsidRDefault="00B56863" w:rsidP="00EA5A1A">
            <w:pPr>
              <w:spacing w:before="120" w:after="120"/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</w:pPr>
            <w:r w:rsidRPr="00B32542"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  <w:t>Colour Appearance</w:t>
            </w:r>
          </w:p>
          <w:p w14:paraId="0993C581" w14:textId="77777777" w:rsidR="00EA5A1A" w:rsidRDefault="00EA5A1A" w:rsidP="00EA5A1A">
            <w:pPr>
              <w:spacing w:before="120" w:after="120"/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</w:pPr>
          </w:p>
          <w:p w14:paraId="050CAE8D" w14:textId="77777777" w:rsidR="00EA5A1A" w:rsidRDefault="00EA5A1A" w:rsidP="00EA5A1A">
            <w:pPr>
              <w:spacing w:before="120" w:after="120"/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</w:pPr>
          </w:p>
          <w:p w14:paraId="529102AC" w14:textId="77777777" w:rsidR="00EA5A1A" w:rsidRDefault="00EA5A1A" w:rsidP="00EA5A1A">
            <w:pPr>
              <w:spacing w:before="120" w:after="120"/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</w:pPr>
          </w:p>
          <w:p w14:paraId="2020588E" w14:textId="77777777" w:rsidR="00EA5A1A" w:rsidRDefault="00EA5A1A" w:rsidP="00EA5A1A">
            <w:pPr>
              <w:spacing w:before="120" w:after="120"/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</w:pPr>
          </w:p>
          <w:p w14:paraId="72EF183E" w14:textId="13F20AE4" w:rsidR="00EA5A1A" w:rsidRPr="00B32542" w:rsidRDefault="00EA5A1A" w:rsidP="00EA5A1A">
            <w:pPr>
              <w:spacing w:before="120" w:after="120"/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  <w:t>Maintenance</w:t>
            </w:r>
          </w:p>
        </w:tc>
        <w:tc>
          <w:tcPr>
            <w:tcW w:w="13044" w:type="dxa"/>
            <w:gridSpan w:val="8"/>
            <w:noWrap/>
          </w:tcPr>
          <w:p w14:paraId="75C8BA5E" w14:textId="77777777" w:rsidR="00B56863" w:rsidRPr="00B32542" w:rsidRDefault="00B56863" w:rsidP="00EA5A1A">
            <w:pPr>
              <w:spacing w:before="120" w:after="0"/>
              <w:rPr>
                <w:rFonts w:ascii="Calibri" w:eastAsia="Times New Roman" w:hAnsi="Calibri" w:cs="Times New Roman"/>
                <w:color w:val="000000"/>
                <w:lang w:val="en-GB" w:eastAsia="en-AU"/>
              </w:rPr>
            </w:pP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Lamp must have one of the following nominal CCTs consistent with the 7-step chromaticity quadrangles and Duv tolerances below.</w:t>
            </w:r>
            <w:r w:rsidRPr="00B32542">
              <w:rPr>
                <w:rStyle w:val="Odwoanieprzypisudolnego"/>
                <w:rFonts w:ascii="Calibri" w:eastAsia="Times New Roman" w:hAnsi="Calibri" w:cs="Times New Roman"/>
                <w:color w:val="000000"/>
                <w:lang w:val="en-GB" w:eastAsia="en-AU"/>
              </w:rPr>
              <w:footnoteReference w:id="10"/>
            </w:r>
          </w:p>
          <w:p w14:paraId="196BB264" w14:textId="77777777" w:rsidR="00B56863" w:rsidRDefault="00EA5A1A" w:rsidP="00EA5A1A">
            <w:pPr>
              <w:spacing w:before="120" w:after="0"/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B32542">
              <w:rPr>
                <w:noProof/>
                <w:lang w:val="pl-PL" w:eastAsia="pl-PL"/>
              </w:rPr>
              <w:drawing>
                <wp:inline distT="0" distB="0" distL="0" distR="0" wp14:anchorId="73FE2B83" wp14:editId="78D834BA">
                  <wp:extent cx="3951891" cy="2204720"/>
                  <wp:effectExtent l="0" t="0" r="0" b="5080"/>
                  <wp:docPr id="9" name="Picture 8" descr="Th 7-step chromaticity quadrangles range from 2200 to 6500 Kelvin" title="Table of nominal CCT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6"/>
                          <a:srcRect r="343"/>
                          <a:stretch/>
                        </pic:blipFill>
                        <pic:spPr bwMode="auto">
                          <a:xfrm>
                            <a:off x="0" y="0"/>
                            <a:ext cx="3970611" cy="2215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8900FA0" w14:textId="007B00A7" w:rsidR="00EA5A1A" w:rsidRPr="00B32542" w:rsidRDefault="00EA5A1A" w:rsidP="00EA5A1A">
            <w:pPr>
              <w:spacing w:before="240" w:after="0"/>
              <w:rPr>
                <w:rFonts w:ascii="Calibri" w:hAnsi="Calibri"/>
                <w:color w:val="000000"/>
                <w:lang w:val="en-GB"/>
              </w:rPr>
            </w:pP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                           The shift in chromaticity co-ordinates after 6000 hours of operation, Δ u’,v’ (6000 hours) ≤</w:t>
            </w:r>
            <w:r w:rsidRPr="00B32542">
              <w:rPr>
                <w:lang w:val="en-GB"/>
              </w:rPr>
              <w:t xml:space="preserve"> </w:t>
            </w: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0.007</w:t>
            </w:r>
          </w:p>
        </w:tc>
      </w:tr>
      <w:tr w:rsidR="00B56863" w:rsidRPr="00B32542" w14:paraId="440FB42A" w14:textId="77777777" w:rsidTr="000D5DAE">
        <w:trPr>
          <w:trHeight w:val="274"/>
        </w:trPr>
        <w:tc>
          <w:tcPr>
            <w:tcW w:w="14740" w:type="dxa"/>
            <w:gridSpan w:val="9"/>
            <w:shd w:val="clear" w:color="auto" w:fill="C6D9F1" w:themeFill="text2" w:themeFillTint="33"/>
            <w:vAlign w:val="center"/>
          </w:tcPr>
          <w:p w14:paraId="30583C57" w14:textId="29990AC9" w:rsidR="00B56863" w:rsidRPr="006E39D9" w:rsidRDefault="00B56863" w:rsidP="00932DE0">
            <w:pPr>
              <w:spacing w:before="120" w:after="12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 w:eastAsia="en-AU"/>
              </w:rPr>
            </w:pPr>
            <w:r w:rsidRPr="006E39D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 w:eastAsia="en-AU"/>
              </w:rPr>
              <w:lastRenderedPageBreak/>
              <w:t>Life</w:t>
            </w:r>
          </w:p>
        </w:tc>
      </w:tr>
      <w:tr w:rsidR="00AE2FEF" w:rsidRPr="00B32542" w14:paraId="4E68420C" w14:textId="77777777" w:rsidTr="000D5DAE">
        <w:trPr>
          <w:trHeight w:val="514"/>
        </w:trPr>
        <w:tc>
          <w:tcPr>
            <w:tcW w:w="1696" w:type="dxa"/>
            <w:vAlign w:val="center"/>
          </w:tcPr>
          <w:p w14:paraId="3D698FCE" w14:textId="4B953DB2" w:rsidR="00AE2FEF" w:rsidRPr="00B32542" w:rsidRDefault="00AE2FEF" w:rsidP="00767FA9">
            <w:pPr>
              <w:spacing w:before="120" w:after="120"/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</w:pPr>
            <w:r w:rsidRPr="00B32542"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  <w:t>Rated Lifetime</w:t>
            </w:r>
            <w:r w:rsidR="008A7529" w:rsidRPr="00B32542">
              <w:rPr>
                <w:rStyle w:val="Odwoanieprzypisudolnego"/>
                <w:rFonts w:ascii="Calibri" w:eastAsia="Times New Roman" w:hAnsi="Calibri" w:cs="Times New Roman"/>
                <w:b/>
                <w:color w:val="000000"/>
                <w:lang w:val="en-GB" w:eastAsia="en-AU"/>
              </w:rPr>
              <w:footnoteReference w:id="11"/>
            </w: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 </w:t>
            </w:r>
          </w:p>
        </w:tc>
        <w:tc>
          <w:tcPr>
            <w:tcW w:w="4923" w:type="dxa"/>
            <w:gridSpan w:val="3"/>
            <w:noWrap/>
            <w:vAlign w:val="center"/>
          </w:tcPr>
          <w:p w14:paraId="4DD7AC87" w14:textId="6249257C" w:rsidR="00861DF6" w:rsidRPr="00B32542" w:rsidRDefault="00AE2FEF" w:rsidP="00767FA9">
            <w:pPr>
              <w:spacing w:before="120" w:after="120"/>
              <w:jc w:val="center"/>
              <w:rPr>
                <w:szCs w:val="18"/>
                <w:lang w:val="en-GB" w:eastAsia="en-GB"/>
              </w:rPr>
            </w:pP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minimum </w:t>
            </w:r>
            <w:r w:rsidR="00BD12A2"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2</w:t>
            </w: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5,000 hours</w:t>
            </w:r>
            <w:r w:rsidR="00BD12A2" w:rsidRPr="00B32542">
              <w:rPr>
                <w:rStyle w:val="Odwoanieprzypisudolnego"/>
                <w:rFonts w:ascii="Calibri" w:eastAsia="Times New Roman" w:hAnsi="Calibri" w:cs="Times New Roman"/>
                <w:color w:val="000000"/>
                <w:lang w:val="en-GB" w:eastAsia="en-AU"/>
              </w:rPr>
              <w:footnoteReference w:id="12"/>
            </w:r>
          </w:p>
        </w:tc>
        <w:tc>
          <w:tcPr>
            <w:tcW w:w="2971" w:type="dxa"/>
            <w:gridSpan w:val="2"/>
            <w:vAlign w:val="center"/>
          </w:tcPr>
          <w:p w14:paraId="0C93D33B" w14:textId="64940108" w:rsidR="00AE2FEF" w:rsidRPr="00B32542" w:rsidRDefault="00AE2FEF" w:rsidP="00767FA9">
            <w:pPr>
              <w:spacing w:before="120" w:after="120"/>
              <w:jc w:val="center"/>
              <w:rPr>
                <w:szCs w:val="18"/>
                <w:lang w:val="en-GB" w:eastAsia="en-GB"/>
              </w:rPr>
            </w:pP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minimum </w:t>
            </w:r>
            <w:r w:rsidR="00BD12A2"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3</w:t>
            </w: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5,000 hours</w:t>
            </w:r>
            <w:r w:rsidR="00BD12A2" w:rsidRPr="00B32542">
              <w:rPr>
                <w:rStyle w:val="Odwoanieprzypisudolnego"/>
                <w:rFonts w:ascii="Calibri" w:eastAsia="Times New Roman" w:hAnsi="Calibri" w:cs="Times New Roman"/>
                <w:color w:val="000000"/>
                <w:lang w:val="en-GB" w:eastAsia="en-AU"/>
              </w:rPr>
              <w:footnoteReference w:id="13"/>
            </w:r>
          </w:p>
        </w:tc>
        <w:tc>
          <w:tcPr>
            <w:tcW w:w="2121" w:type="dxa"/>
            <w:gridSpan w:val="2"/>
            <w:vAlign w:val="center"/>
          </w:tcPr>
          <w:p w14:paraId="1E1B47B7" w14:textId="77EBE614" w:rsidR="00AE2FEF" w:rsidRPr="00B32542" w:rsidRDefault="00AE2FEF" w:rsidP="00767FA9">
            <w:pPr>
              <w:spacing w:before="120" w:after="120"/>
              <w:jc w:val="center"/>
              <w:rPr>
                <w:szCs w:val="18"/>
                <w:lang w:val="en-GB" w:eastAsia="en-GB"/>
              </w:rPr>
            </w:pP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minimum </w:t>
            </w:r>
            <w:r w:rsidR="00F44E62"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4</w:t>
            </w: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0,000</w:t>
            </w:r>
            <w:r w:rsidR="00F44E62" w:rsidRPr="00B32542">
              <w:rPr>
                <w:lang w:val="en-GB"/>
              </w:rPr>
              <w:t>h</w:t>
            </w:r>
            <w:r w:rsidR="00F44E62" w:rsidRPr="00B32542">
              <w:rPr>
                <w:rStyle w:val="Odwoanieprzypisudolnego"/>
                <w:rFonts w:ascii="Calibri" w:eastAsia="Times New Roman" w:hAnsi="Calibri" w:cs="Times New Roman"/>
                <w:color w:val="000000"/>
                <w:lang w:val="en-GB" w:eastAsia="en-AU"/>
              </w:rPr>
              <w:t>10</w:t>
            </w:r>
          </w:p>
        </w:tc>
        <w:tc>
          <w:tcPr>
            <w:tcW w:w="3029" w:type="dxa"/>
            <w:vAlign w:val="center"/>
          </w:tcPr>
          <w:p w14:paraId="15BEA90E" w14:textId="2D942695" w:rsidR="00AE2FEF" w:rsidRPr="00B32542" w:rsidRDefault="00AE2FEF" w:rsidP="00767FA9">
            <w:pPr>
              <w:spacing w:before="120" w:after="120"/>
              <w:jc w:val="center"/>
              <w:rPr>
                <w:szCs w:val="18"/>
                <w:lang w:val="en-GB" w:eastAsia="en-GB"/>
              </w:rPr>
            </w:pP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minimum </w:t>
            </w:r>
            <w:r w:rsidR="00F44E62"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45</w:t>
            </w: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,000 hours</w:t>
            </w:r>
            <w:r w:rsidR="00F44E62" w:rsidRPr="00B32542">
              <w:rPr>
                <w:rStyle w:val="Odwoanieprzypisudolnego"/>
                <w:rFonts w:ascii="Calibri" w:eastAsia="Times New Roman" w:hAnsi="Calibri" w:cs="Times New Roman"/>
                <w:color w:val="000000"/>
                <w:lang w:val="en-GB" w:eastAsia="en-AU"/>
              </w:rPr>
              <w:footnoteReference w:id="14"/>
            </w:r>
          </w:p>
        </w:tc>
      </w:tr>
      <w:tr w:rsidR="00ED34D4" w:rsidRPr="00B32542" w14:paraId="383DAF72" w14:textId="77777777" w:rsidTr="000D5DAE">
        <w:trPr>
          <w:trHeight w:val="480"/>
        </w:trPr>
        <w:tc>
          <w:tcPr>
            <w:tcW w:w="1696" w:type="dxa"/>
            <w:vAlign w:val="center"/>
          </w:tcPr>
          <w:p w14:paraId="5F38D921" w14:textId="333FED66" w:rsidR="00ED34D4" w:rsidRPr="00B32542" w:rsidRDefault="00ED34D4" w:rsidP="004E77D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</w:pPr>
            <w:r w:rsidRPr="00B32542"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  <w:t>Endurance</w:t>
            </w:r>
          </w:p>
        </w:tc>
        <w:tc>
          <w:tcPr>
            <w:tcW w:w="13044" w:type="dxa"/>
            <w:gridSpan w:val="8"/>
            <w:noWrap/>
            <w:vAlign w:val="center"/>
          </w:tcPr>
          <w:p w14:paraId="22EEA506" w14:textId="32EE2CA0" w:rsidR="00ED34D4" w:rsidRPr="00B32542" w:rsidRDefault="00F44E62" w:rsidP="00767FA9">
            <w:pPr>
              <w:spacing w:before="120" w:after="120" w:line="240" w:lineRule="auto"/>
              <w:jc w:val="center"/>
              <w:rPr>
                <w:szCs w:val="18"/>
                <w:lang w:val="en-GB" w:eastAsia="en-GB"/>
              </w:rPr>
            </w:pP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The lamps m</w:t>
            </w:r>
            <w:r w:rsidR="00ED34D4"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ust survive one switching cycle for every 2 hours of rated life</w:t>
            </w: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. In case of buying lamps for frequent switching, the lamps are recommended to survive one </w:t>
            </w:r>
            <w:r w:rsidR="00B32542"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switching</w:t>
            </w: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 cycle for every 0.5 hour of the rated life.  </w:t>
            </w:r>
          </w:p>
        </w:tc>
      </w:tr>
      <w:tr w:rsidR="00AE2FEF" w:rsidRPr="00B32542" w14:paraId="1B054195" w14:textId="77777777" w:rsidTr="000D5DAE">
        <w:trPr>
          <w:trHeight w:val="1467"/>
        </w:trPr>
        <w:tc>
          <w:tcPr>
            <w:tcW w:w="1696" w:type="dxa"/>
            <w:vAlign w:val="center"/>
            <w:hideMark/>
          </w:tcPr>
          <w:p w14:paraId="534063A4" w14:textId="77777777" w:rsidR="00AE2FEF" w:rsidRPr="00B32542" w:rsidRDefault="00AE2FEF" w:rsidP="008957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</w:pPr>
            <w:r w:rsidRPr="00B32542"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  <w:t>Lumen maintenance</w:t>
            </w:r>
          </w:p>
        </w:tc>
        <w:tc>
          <w:tcPr>
            <w:tcW w:w="4951" w:type="dxa"/>
            <w:gridSpan w:val="4"/>
            <w:noWrap/>
            <w:vAlign w:val="center"/>
            <w:hideMark/>
          </w:tcPr>
          <w:p w14:paraId="2766A214" w14:textId="18A10B8E" w:rsidR="00AE2FEF" w:rsidRPr="00B32542" w:rsidRDefault="00AE2FEF" w:rsidP="00FE38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AU"/>
              </w:rPr>
            </w:pP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At 6000 h </w:t>
            </w:r>
            <w:r w:rsidRPr="00B32542">
              <w:rPr>
                <w:rFonts w:ascii="Calibri" w:eastAsia="Times New Roman" w:hAnsi="Calibri" w:cs="Times New Roman"/>
                <w:color w:val="000000"/>
                <w:vertAlign w:val="subscript"/>
                <w:lang w:val="en-GB" w:eastAsia="en-AU"/>
              </w:rPr>
              <w:t xml:space="preserve"> </w:t>
            </w: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≥ 86.7% of initial flux</w:t>
            </w:r>
          </w:p>
          <w:p w14:paraId="5C6BCDA9" w14:textId="674B8102" w:rsidR="00AE2FEF" w:rsidRPr="00B32542" w:rsidRDefault="00AE2FEF" w:rsidP="00FE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AU"/>
              </w:rPr>
            </w:pP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(based on L</w:t>
            </w:r>
            <w:r w:rsidRPr="00B32542">
              <w:rPr>
                <w:rFonts w:ascii="Calibri" w:eastAsia="Times New Roman" w:hAnsi="Calibri" w:cs="Times New Roman"/>
                <w:color w:val="000000"/>
                <w:vertAlign w:val="subscript"/>
                <w:lang w:val="en-GB" w:eastAsia="en-AU"/>
              </w:rPr>
              <w:t>70</w:t>
            </w: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B</w:t>
            </w:r>
            <w:r w:rsidRPr="00B32542">
              <w:rPr>
                <w:rFonts w:ascii="Calibri" w:eastAsia="Times New Roman" w:hAnsi="Calibri" w:cs="Times New Roman"/>
                <w:color w:val="000000"/>
                <w:vertAlign w:val="subscript"/>
                <w:lang w:val="en-GB" w:eastAsia="en-AU"/>
              </w:rPr>
              <w:t>50</w:t>
            </w: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 </w:t>
            </w:r>
            <w:r w:rsidR="0010383A" w:rsidRPr="00B32542">
              <w:rPr>
                <w:rStyle w:val="Odwoanieprzypisudolnego"/>
                <w:rFonts w:ascii="Calibri" w:eastAsia="Times New Roman" w:hAnsi="Calibri" w:cs="Times New Roman"/>
                <w:color w:val="000000"/>
                <w:lang w:val="en-GB" w:eastAsia="en-AU"/>
              </w:rPr>
              <w:footnoteReference w:id="15"/>
            </w: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≥ 15,000h)</w:t>
            </w:r>
          </w:p>
        </w:tc>
        <w:tc>
          <w:tcPr>
            <w:tcW w:w="2943" w:type="dxa"/>
            <w:vAlign w:val="center"/>
          </w:tcPr>
          <w:p w14:paraId="14F9D5AB" w14:textId="77777777" w:rsidR="00AE2FEF" w:rsidRPr="00B32542" w:rsidRDefault="00AE2FEF" w:rsidP="00FE3888">
            <w:pPr>
              <w:spacing w:after="0"/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At 6</w:t>
            </w:r>
            <w:r w:rsidRPr="00B32542">
              <w:rPr>
                <w:rFonts w:ascii="Calibri" w:hAnsi="Calibri"/>
                <w:color w:val="000000"/>
                <w:lang w:val="en-GB"/>
              </w:rPr>
              <w:t xml:space="preserve">,000h </w:t>
            </w:r>
            <w:r w:rsidRPr="00B32542">
              <w:rPr>
                <w:rFonts w:ascii="Calibri" w:eastAsia="Times New Roman" w:hAnsi="Calibri" w:cs="Times New Roman"/>
                <w:color w:val="000000"/>
                <w:vertAlign w:val="subscript"/>
                <w:lang w:val="en-GB" w:eastAsia="en-AU"/>
              </w:rPr>
              <w:t xml:space="preserve"> </w:t>
            </w:r>
            <w:r w:rsidRPr="00B32542">
              <w:rPr>
                <w:rFonts w:ascii="Calibri" w:hAnsi="Calibri"/>
                <w:color w:val="000000"/>
                <w:lang w:val="en-GB"/>
              </w:rPr>
              <w:t xml:space="preserve">≥ 91.8% of initial flux </w:t>
            </w:r>
          </w:p>
          <w:p w14:paraId="37A21DF4" w14:textId="4F86BCD7" w:rsidR="00AE2FEF" w:rsidRPr="00B32542" w:rsidRDefault="00AE2FEF" w:rsidP="00FE38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AU"/>
              </w:rPr>
            </w:pPr>
            <w:r w:rsidRPr="00B32542">
              <w:rPr>
                <w:rFonts w:ascii="Calibri" w:hAnsi="Calibri"/>
                <w:color w:val="000000"/>
                <w:lang w:val="en-GB"/>
              </w:rPr>
              <w:t>(based on L</w:t>
            </w:r>
            <w:r w:rsidRPr="00B32542">
              <w:rPr>
                <w:rFonts w:ascii="Calibri" w:hAnsi="Calibri"/>
                <w:color w:val="000000"/>
                <w:vertAlign w:val="subscript"/>
                <w:lang w:val="en-GB"/>
              </w:rPr>
              <w:t>70</w:t>
            </w:r>
            <w:r w:rsidRPr="00B32542">
              <w:rPr>
                <w:rFonts w:ascii="Calibri" w:hAnsi="Calibri"/>
                <w:color w:val="000000"/>
                <w:lang w:val="en-GB"/>
              </w:rPr>
              <w:t>B</w:t>
            </w:r>
            <w:r w:rsidRPr="00B32542">
              <w:rPr>
                <w:rFonts w:ascii="Calibri" w:hAnsi="Calibri"/>
                <w:color w:val="000000"/>
                <w:vertAlign w:val="subscript"/>
                <w:lang w:val="en-GB"/>
              </w:rPr>
              <w:t>50</w:t>
            </w:r>
            <w:r w:rsidRPr="00B32542">
              <w:rPr>
                <w:rFonts w:ascii="Calibri" w:hAnsi="Calibri"/>
                <w:color w:val="000000"/>
                <w:lang w:val="en-GB"/>
              </w:rPr>
              <w:t xml:space="preserve"> ≥ 25,000h)</w:t>
            </w:r>
          </w:p>
        </w:tc>
        <w:tc>
          <w:tcPr>
            <w:tcW w:w="2121" w:type="dxa"/>
            <w:gridSpan w:val="2"/>
            <w:vAlign w:val="center"/>
          </w:tcPr>
          <w:p w14:paraId="2571AF7C" w14:textId="28C67D0D" w:rsidR="00AE2FEF" w:rsidRPr="00B32542" w:rsidRDefault="00AE2FEF" w:rsidP="00FE38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AU"/>
              </w:rPr>
            </w:pP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At </w:t>
            </w:r>
            <w:r w:rsidRPr="00B32542">
              <w:rPr>
                <w:rFonts w:ascii="Calibri" w:hAnsi="Calibri"/>
                <w:color w:val="000000"/>
                <w:lang w:val="en-GB"/>
              </w:rPr>
              <w:t>6,000h</w:t>
            </w: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 </w:t>
            </w:r>
            <w:r w:rsidRPr="00B32542">
              <w:rPr>
                <w:rFonts w:ascii="Calibri" w:hAnsi="Calibri"/>
                <w:color w:val="000000"/>
                <w:lang w:val="en-GB"/>
              </w:rPr>
              <w:t>≥  93.1% of initial flux</w:t>
            </w:r>
          </w:p>
          <w:p w14:paraId="4F616B4F" w14:textId="19919B2D" w:rsidR="00AE2FEF" w:rsidRPr="00B32542" w:rsidRDefault="00AE2FEF" w:rsidP="00FE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AU"/>
              </w:rPr>
            </w:pPr>
            <w:r w:rsidRPr="00B32542">
              <w:rPr>
                <w:rFonts w:ascii="Calibri" w:hAnsi="Calibri"/>
                <w:color w:val="000000"/>
                <w:lang w:val="en-GB"/>
              </w:rPr>
              <w:t>(L</w:t>
            </w:r>
            <w:r w:rsidRPr="00B32542">
              <w:rPr>
                <w:rFonts w:ascii="Calibri" w:hAnsi="Calibri"/>
                <w:color w:val="000000"/>
                <w:vertAlign w:val="subscript"/>
                <w:lang w:val="en-GB"/>
              </w:rPr>
              <w:t>70</w:t>
            </w:r>
            <w:r w:rsidRPr="00B32542">
              <w:rPr>
                <w:rFonts w:ascii="Calibri" w:hAnsi="Calibri"/>
                <w:color w:val="000000"/>
                <w:lang w:val="en-GB"/>
              </w:rPr>
              <w:t>B</w:t>
            </w:r>
            <w:r w:rsidRPr="00B32542">
              <w:rPr>
                <w:rFonts w:ascii="Calibri" w:hAnsi="Calibri"/>
                <w:color w:val="000000"/>
                <w:vertAlign w:val="subscript"/>
                <w:lang w:val="en-GB"/>
              </w:rPr>
              <w:t>50</w:t>
            </w:r>
            <w:r w:rsidRPr="00B32542">
              <w:rPr>
                <w:rFonts w:ascii="Calibri" w:hAnsi="Calibri"/>
                <w:color w:val="000000"/>
                <w:lang w:val="en-GB"/>
              </w:rPr>
              <w:t xml:space="preserve"> ≥ 30,000h)</w:t>
            </w:r>
          </w:p>
        </w:tc>
        <w:tc>
          <w:tcPr>
            <w:tcW w:w="3029" w:type="dxa"/>
            <w:vAlign w:val="center"/>
          </w:tcPr>
          <w:p w14:paraId="19563393" w14:textId="65AB5C2A" w:rsidR="00AE2FEF" w:rsidRPr="00B32542" w:rsidRDefault="00AE2FEF" w:rsidP="00767FA9">
            <w:pPr>
              <w:spacing w:before="240" w:after="0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  <w:lang w:val="en-GB" w:eastAsia="en-AU"/>
              </w:rPr>
            </w:pP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At </w:t>
            </w:r>
            <w:r w:rsidRPr="00B32542">
              <w:rPr>
                <w:rFonts w:ascii="Calibri" w:hAnsi="Calibri"/>
                <w:color w:val="000000"/>
                <w:lang w:val="en-GB"/>
              </w:rPr>
              <w:t xml:space="preserve">6,000h ≥  95.4% of initial flux   </w:t>
            </w:r>
            <w:r w:rsidRPr="00B32542">
              <w:rPr>
                <w:rFonts w:ascii="Calibri" w:hAnsi="Calibri"/>
                <w:color w:val="000000"/>
                <w:lang w:val="en-GB"/>
              </w:rPr>
              <w:br/>
              <w:t xml:space="preserve">        (based on L</w:t>
            </w:r>
            <w:r w:rsidRPr="00B32542">
              <w:rPr>
                <w:rFonts w:ascii="Calibri" w:hAnsi="Calibri"/>
                <w:color w:val="000000"/>
                <w:vertAlign w:val="subscript"/>
                <w:lang w:val="en-GB"/>
              </w:rPr>
              <w:t>70</w:t>
            </w:r>
            <w:r w:rsidRPr="00B32542">
              <w:rPr>
                <w:rFonts w:ascii="Calibri" w:hAnsi="Calibri"/>
                <w:color w:val="000000"/>
                <w:lang w:val="en-GB"/>
              </w:rPr>
              <w:t>B</w:t>
            </w:r>
            <w:r w:rsidRPr="00B32542">
              <w:rPr>
                <w:rFonts w:ascii="Calibri" w:hAnsi="Calibri"/>
                <w:color w:val="000000"/>
                <w:vertAlign w:val="subscript"/>
                <w:lang w:val="en-GB"/>
              </w:rPr>
              <w:t>50</w:t>
            </w:r>
            <w:r w:rsidRPr="00B32542">
              <w:rPr>
                <w:rFonts w:ascii="Calibri" w:hAnsi="Calibri"/>
                <w:color w:val="000000"/>
                <w:lang w:val="en-GB"/>
              </w:rPr>
              <w:t xml:space="preserve"> ≥ 45,000h)</w:t>
            </w:r>
            <w:r w:rsidRPr="00B32542">
              <w:rPr>
                <w:rFonts w:ascii="Calibri" w:hAnsi="Calibri"/>
                <w:color w:val="000000"/>
                <w:lang w:val="en-GB"/>
              </w:rPr>
              <w:br/>
            </w:r>
          </w:p>
        </w:tc>
      </w:tr>
      <w:tr w:rsidR="00AE2FEF" w:rsidRPr="00B32542" w14:paraId="0799ECA4" w14:textId="77777777" w:rsidTr="000D5DAE">
        <w:trPr>
          <w:trHeight w:val="433"/>
        </w:trPr>
        <w:tc>
          <w:tcPr>
            <w:tcW w:w="1696" w:type="dxa"/>
            <w:vAlign w:val="center"/>
          </w:tcPr>
          <w:p w14:paraId="5A5EE1DE" w14:textId="65C7946F" w:rsidR="00AE2FEF" w:rsidRPr="00B32542" w:rsidRDefault="00AE2FEF" w:rsidP="00767FA9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</w:pPr>
            <w:r w:rsidRPr="00B32542"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  <w:t xml:space="preserve">Early failure </w:t>
            </w:r>
          </w:p>
        </w:tc>
        <w:tc>
          <w:tcPr>
            <w:tcW w:w="13044" w:type="dxa"/>
            <w:gridSpan w:val="8"/>
            <w:noWrap/>
            <w:vAlign w:val="center"/>
          </w:tcPr>
          <w:p w14:paraId="7FD77469" w14:textId="34964AE1" w:rsidR="00AE2FEF" w:rsidRPr="00B32542" w:rsidRDefault="00AE2FEF" w:rsidP="00767FA9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AU"/>
              </w:rPr>
            </w:pPr>
            <w:r w:rsidRPr="00B32542">
              <w:rPr>
                <w:szCs w:val="18"/>
                <w:lang w:val="en-GB" w:eastAsia="en-GB"/>
              </w:rPr>
              <w:t>Maximum 5% early failures at 6000 hours</w:t>
            </w:r>
          </w:p>
        </w:tc>
      </w:tr>
      <w:tr w:rsidR="00AE2FEF" w:rsidRPr="00B32542" w14:paraId="4DDB04A8" w14:textId="77777777" w:rsidTr="000D5DAE">
        <w:trPr>
          <w:trHeight w:val="433"/>
        </w:trPr>
        <w:tc>
          <w:tcPr>
            <w:tcW w:w="1696" w:type="dxa"/>
            <w:vAlign w:val="center"/>
          </w:tcPr>
          <w:p w14:paraId="4E635A8B" w14:textId="2AFB7EE7" w:rsidR="00AE2FEF" w:rsidRPr="00B32542" w:rsidRDefault="00AE2FEF" w:rsidP="00FE388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</w:pPr>
            <w:r w:rsidRPr="00B32542"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  <w:t>Minimum Rated Life, F</w:t>
            </w:r>
            <w:r w:rsidRPr="00B32542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val="en-GB" w:eastAsia="en-AU"/>
              </w:rPr>
              <w:t>50</w:t>
            </w:r>
            <w:r w:rsidRPr="00B32542">
              <w:rPr>
                <w:rStyle w:val="Odwoanieprzypisudolnego"/>
                <w:rFonts w:ascii="Calibri" w:eastAsia="Times New Roman" w:hAnsi="Calibri" w:cs="Times New Roman"/>
                <w:b/>
                <w:color w:val="000000"/>
                <w:lang w:val="en-GB" w:eastAsia="en-AU"/>
              </w:rPr>
              <w:footnoteReference w:id="16"/>
            </w:r>
          </w:p>
        </w:tc>
        <w:tc>
          <w:tcPr>
            <w:tcW w:w="4951" w:type="dxa"/>
            <w:gridSpan w:val="4"/>
            <w:noWrap/>
            <w:vAlign w:val="center"/>
          </w:tcPr>
          <w:p w14:paraId="36BE16AE" w14:textId="34981CCE" w:rsidR="00AE2FEF" w:rsidRPr="00B32542" w:rsidRDefault="00AE2FEF" w:rsidP="00FE3888">
            <w:pPr>
              <w:spacing w:after="0"/>
              <w:rPr>
                <w:rFonts w:ascii="Calibri" w:eastAsia="Times New Roman" w:hAnsi="Calibri" w:cs="Times New Roman"/>
                <w:color w:val="000000"/>
                <w:lang w:val="en-GB" w:eastAsia="en-AU"/>
              </w:rPr>
            </w:pP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                            At 15,000 h &lt; 50% have failed </w:t>
            </w:r>
          </w:p>
        </w:tc>
        <w:tc>
          <w:tcPr>
            <w:tcW w:w="2943" w:type="dxa"/>
            <w:vAlign w:val="center"/>
          </w:tcPr>
          <w:p w14:paraId="4D5A7C4B" w14:textId="09B8E443" w:rsidR="00AE2FEF" w:rsidRPr="00B32542" w:rsidRDefault="00AE2FEF" w:rsidP="00FE3888">
            <w:pPr>
              <w:spacing w:after="0"/>
              <w:rPr>
                <w:rFonts w:ascii="Calibri" w:eastAsia="Times New Roman" w:hAnsi="Calibri" w:cs="Times New Roman"/>
                <w:color w:val="000000"/>
                <w:lang w:val="en-GB" w:eastAsia="en-AU"/>
              </w:rPr>
            </w:pP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 At 25,000 h &lt; 50% have failed </w:t>
            </w:r>
          </w:p>
        </w:tc>
        <w:tc>
          <w:tcPr>
            <w:tcW w:w="2121" w:type="dxa"/>
            <w:gridSpan w:val="2"/>
            <w:vAlign w:val="center"/>
          </w:tcPr>
          <w:p w14:paraId="17416D18" w14:textId="347F7465" w:rsidR="00AE2FEF" w:rsidRPr="00B32542" w:rsidRDefault="00AE2FEF" w:rsidP="00FE38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GB" w:eastAsia="en-AU"/>
              </w:rPr>
            </w:pP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At 30,000 h &lt; 50% have failed</w:t>
            </w:r>
          </w:p>
        </w:tc>
        <w:tc>
          <w:tcPr>
            <w:tcW w:w="3029" w:type="dxa"/>
            <w:vAlign w:val="center"/>
          </w:tcPr>
          <w:p w14:paraId="736391BD" w14:textId="2DE49045" w:rsidR="00AE2FEF" w:rsidRPr="00B32542" w:rsidRDefault="00AE2FEF" w:rsidP="00FE388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  <w:lang w:val="en-GB" w:eastAsia="en-AU"/>
              </w:rPr>
            </w:pP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At 45,000 h &lt; 50% have failed</w:t>
            </w:r>
          </w:p>
        </w:tc>
      </w:tr>
      <w:tr w:rsidR="00AE2FEF" w:rsidRPr="00B32542" w14:paraId="6F17AE75" w14:textId="77777777" w:rsidTr="000D5DAE">
        <w:trPr>
          <w:trHeight w:val="274"/>
        </w:trPr>
        <w:tc>
          <w:tcPr>
            <w:tcW w:w="14740" w:type="dxa"/>
            <w:gridSpan w:val="9"/>
            <w:shd w:val="clear" w:color="auto" w:fill="C6D9F1" w:themeFill="text2" w:themeFillTint="33"/>
            <w:vAlign w:val="center"/>
          </w:tcPr>
          <w:p w14:paraId="02396656" w14:textId="367A626D" w:rsidR="00AE2FEF" w:rsidRPr="006E39D9" w:rsidRDefault="00AE2FEF" w:rsidP="00B430F8">
            <w:pPr>
              <w:spacing w:before="120" w:after="12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 w:eastAsia="en-AU"/>
              </w:rPr>
            </w:pPr>
            <w:r w:rsidRPr="006E39D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 w:eastAsia="en-AU"/>
              </w:rPr>
              <w:lastRenderedPageBreak/>
              <w:t>Operation</w:t>
            </w:r>
          </w:p>
        </w:tc>
      </w:tr>
      <w:tr w:rsidR="007D3172" w:rsidRPr="00B32542" w14:paraId="53CF3F01" w14:textId="77777777" w:rsidTr="000D5DAE">
        <w:trPr>
          <w:trHeight w:val="574"/>
        </w:trPr>
        <w:tc>
          <w:tcPr>
            <w:tcW w:w="1696" w:type="dxa"/>
            <w:vAlign w:val="center"/>
          </w:tcPr>
          <w:p w14:paraId="45D1CA34" w14:textId="6D2A0798" w:rsidR="007D3172" w:rsidRPr="00B32542" w:rsidRDefault="009A468E" w:rsidP="00131D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</w:pPr>
            <w:r w:rsidRPr="00B32542"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  <w:t xml:space="preserve">Power </w:t>
            </w:r>
            <w:r w:rsidR="007D3172" w:rsidRPr="00B32542"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  <w:t>Supply</w:t>
            </w:r>
          </w:p>
        </w:tc>
        <w:tc>
          <w:tcPr>
            <w:tcW w:w="13044" w:type="dxa"/>
            <w:gridSpan w:val="8"/>
            <w:noWrap/>
            <w:vAlign w:val="center"/>
          </w:tcPr>
          <w:p w14:paraId="1BF791BD" w14:textId="5E688C52" w:rsidR="00966FF7" w:rsidRPr="00B32542" w:rsidRDefault="009A468E" w:rsidP="00966FF7">
            <w:pPr>
              <w:spacing w:before="120" w:after="60" w:line="240" w:lineRule="auto"/>
              <w:rPr>
                <w:rFonts w:ascii="Calibri" w:eastAsia="Times New Roman" w:hAnsi="Calibri" w:cs="Times New Roman"/>
                <w:color w:val="000000"/>
                <w:lang w:val="en-GB" w:eastAsia="en-AU"/>
              </w:rPr>
            </w:pP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There hast </w:t>
            </w:r>
            <w:r w:rsidR="00966FF7"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t</w:t>
            </w: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o be provided information about</w:t>
            </w:r>
            <w:r w:rsidR="00966FF7"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:</w:t>
            </w:r>
          </w:p>
          <w:p w14:paraId="0EFFBA3C" w14:textId="28C056B5" w:rsidR="00966FF7" w:rsidRPr="00B32542" w:rsidRDefault="009A468E" w:rsidP="00E300D3">
            <w:pPr>
              <w:pStyle w:val="Akapitzlist"/>
              <w:numPr>
                <w:ilvl w:val="0"/>
                <w:numId w:val="3"/>
              </w:numPr>
              <w:spacing w:before="60" w:after="0" w:line="240" w:lineRule="auto"/>
              <w:rPr>
                <w:rFonts w:ascii="Calibri" w:eastAsia="Times New Roman" w:hAnsi="Calibri" w:cs="Times New Roman"/>
                <w:color w:val="000000"/>
                <w:lang w:val="en-GB" w:eastAsia="en-AU"/>
              </w:rPr>
            </w:pP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Rated power supply voltage range,</w:t>
            </w:r>
          </w:p>
          <w:p w14:paraId="722B4E04" w14:textId="305B8E83" w:rsidR="00966FF7" w:rsidRPr="00B32542" w:rsidRDefault="009A468E" w:rsidP="00E300D3">
            <w:pPr>
              <w:pStyle w:val="Akapitzlist"/>
              <w:numPr>
                <w:ilvl w:val="0"/>
                <w:numId w:val="3"/>
              </w:numPr>
              <w:spacing w:before="60" w:after="0" w:line="240" w:lineRule="auto"/>
              <w:rPr>
                <w:rFonts w:ascii="Calibri" w:eastAsia="Times New Roman" w:hAnsi="Calibri" w:cs="Times New Roman"/>
                <w:color w:val="000000"/>
                <w:lang w:val="en-GB" w:eastAsia="en-AU"/>
              </w:rPr>
            </w:pP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Rated frequency range, </w:t>
            </w:r>
          </w:p>
          <w:p w14:paraId="41A0EA6F" w14:textId="7CA3A03F" w:rsidR="00966FF7" w:rsidRPr="00B32542" w:rsidRDefault="009A468E" w:rsidP="00E300D3">
            <w:pPr>
              <w:pStyle w:val="Akapitzlist"/>
              <w:numPr>
                <w:ilvl w:val="0"/>
                <w:numId w:val="3"/>
              </w:numPr>
              <w:spacing w:before="60" w:after="0" w:line="240" w:lineRule="auto"/>
              <w:rPr>
                <w:color w:val="000000" w:themeColor="text1"/>
                <w:szCs w:val="20"/>
                <w:lang w:val="en-GB"/>
              </w:rPr>
            </w:pP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Rated power consumption FOR ON mode </w:t>
            </w:r>
            <w:r w:rsidRPr="00B32542">
              <w:rPr>
                <w:color w:val="000000" w:themeColor="text1"/>
                <w:szCs w:val="20"/>
                <w:lang w:val="en-GB"/>
              </w:rPr>
              <w:t>where the lamp is producing light in a default state without any dimming,</w:t>
            </w:r>
          </w:p>
          <w:p w14:paraId="5B046CD0" w14:textId="699BB0F1" w:rsidR="007D3172" w:rsidRPr="00B32542" w:rsidRDefault="009A468E" w:rsidP="005941C3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714" w:hanging="357"/>
              <w:rPr>
                <w:rFonts w:ascii="Calibri" w:eastAsia="Times New Roman" w:hAnsi="Calibri" w:cs="Times New Roman"/>
                <w:color w:val="000000"/>
                <w:lang w:val="en-GB" w:eastAsia="en-AU"/>
              </w:rPr>
            </w:pP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Rated Standby power consumption </w:t>
            </w:r>
            <w:r w:rsidR="00966FF7" w:rsidRPr="00B32542">
              <w:rPr>
                <w:szCs w:val="20"/>
                <w:lang w:val="en-GB"/>
              </w:rPr>
              <w:t xml:space="preserve">where the lamp is connected to a mains power source and </w:t>
            </w:r>
            <w:r w:rsidR="005941C3" w:rsidRPr="00B32542">
              <w:rPr>
                <w:szCs w:val="20"/>
                <w:lang w:val="en-GB"/>
              </w:rPr>
              <w:t xml:space="preserve">standby due to </w:t>
            </w:r>
            <w:r w:rsidR="00966FF7" w:rsidRPr="00B32542">
              <w:rPr>
                <w:szCs w:val="20"/>
                <w:lang w:val="en-GB"/>
              </w:rPr>
              <w:t>smart function</w:t>
            </w:r>
            <w:r w:rsidR="005941C3" w:rsidRPr="00B32542">
              <w:rPr>
                <w:szCs w:val="20"/>
                <w:lang w:val="en-GB"/>
              </w:rPr>
              <w:t>(s).</w:t>
            </w:r>
            <w:r w:rsidR="00966FF7" w:rsidRPr="00B32542">
              <w:rPr>
                <w:szCs w:val="20"/>
                <w:lang w:val="en-GB"/>
              </w:rPr>
              <w:t xml:space="preserve"> </w:t>
            </w: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 </w:t>
            </w:r>
            <w:r w:rsidR="007D3172"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 </w:t>
            </w:r>
          </w:p>
        </w:tc>
      </w:tr>
      <w:tr w:rsidR="0081113D" w:rsidRPr="00B32542" w14:paraId="53F55542" w14:textId="77777777" w:rsidTr="000D5DAE">
        <w:trPr>
          <w:trHeight w:val="568"/>
        </w:trPr>
        <w:tc>
          <w:tcPr>
            <w:tcW w:w="1696" w:type="dxa"/>
            <w:vAlign w:val="center"/>
            <w:hideMark/>
          </w:tcPr>
          <w:p w14:paraId="0E3145CD" w14:textId="039EC19A" w:rsidR="0081113D" w:rsidRPr="00B32542" w:rsidRDefault="0081113D" w:rsidP="00966FF7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</w:pPr>
            <w:r w:rsidRPr="00B32542"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  <w:t>Power Factor</w:t>
            </w:r>
          </w:p>
        </w:tc>
        <w:tc>
          <w:tcPr>
            <w:tcW w:w="4923" w:type="dxa"/>
            <w:gridSpan w:val="3"/>
            <w:noWrap/>
            <w:vAlign w:val="center"/>
            <w:hideMark/>
          </w:tcPr>
          <w:p w14:paraId="6A4B8107" w14:textId="68BD32C8" w:rsidR="0081113D" w:rsidRPr="00B32542" w:rsidRDefault="0081113D" w:rsidP="00966FF7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lang w:val="en-GB" w:eastAsia="en-AU"/>
              </w:rPr>
            </w:pP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ab/>
              <w:t>&lt; 25W: PF &gt; 0.50</w:t>
            </w: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br/>
            </w: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ab/>
              <w:t>≥ 25W: PF &gt; 0.90</w:t>
            </w:r>
          </w:p>
        </w:tc>
        <w:tc>
          <w:tcPr>
            <w:tcW w:w="2971" w:type="dxa"/>
            <w:gridSpan w:val="2"/>
            <w:vAlign w:val="center"/>
          </w:tcPr>
          <w:p w14:paraId="6FC7529C" w14:textId="1162FD12" w:rsidR="0081113D" w:rsidRPr="00B32542" w:rsidRDefault="0081113D" w:rsidP="00966FF7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  <w:lang w:val="en-GB" w:eastAsia="en-AU"/>
              </w:rPr>
            </w:pP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PF &gt; 0.90 for self-ballasted lamps</w:t>
            </w:r>
          </w:p>
        </w:tc>
        <w:tc>
          <w:tcPr>
            <w:tcW w:w="5150" w:type="dxa"/>
            <w:gridSpan w:val="3"/>
            <w:vAlign w:val="center"/>
          </w:tcPr>
          <w:p w14:paraId="44B44CDB" w14:textId="49009551" w:rsidR="0081113D" w:rsidRPr="00B32542" w:rsidRDefault="0081113D" w:rsidP="00966FF7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  <w:lang w:val="en-GB" w:eastAsia="en-AU"/>
              </w:rPr>
            </w:pP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PF &gt; 0.90</w:t>
            </w:r>
          </w:p>
        </w:tc>
      </w:tr>
      <w:tr w:rsidR="00CC6225" w:rsidRPr="00B32542" w14:paraId="17D4E68D" w14:textId="77777777" w:rsidTr="000D5DAE">
        <w:trPr>
          <w:trHeight w:val="698"/>
        </w:trPr>
        <w:tc>
          <w:tcPr>
            <w:tcW w:w="1696" w:type="dxa"/>
            <w:shd w:val="clear" w:color="auto" w:fill="FFFFFF" w:themeFill="background1"/>
            <w:vAlign w:val="center"/>
          </w:tcPr>
          <w:p w14:paraId="152F0762" w14:textId="0E9D3F23" w:rsidR="00CC6225" w:rsidRPr="00B32542" w:rsidRDefault="00CC6225" w:rsidP="00131D76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  <w:t>Harmonic distortion</w:t>
            </w:r>
          </w:p>
        </w:tc>
        <w:tc>
          <w:tcPr>
            <w:tcW w:w="13044" w:type="dxa"/>
            <w:gridSpan w:val="8"/>
            <w:shd w:val="clear" w:color="auto" w:fill="FFFFFF" w:themeFill="background1"/>
            <w:noWrap/>
          </w:tcPr>
          <w:p w14:paraId="6EEF50A3" w14:textId="786CABB4" w:rsidR="00CC6225" w:rsidRDefault="00CC6225" w:rsidP="00CC6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AU"/>
              </w:rPr>
            </w:pPr>
          </w:p>
          <w:p w14:paraId="437D2239" w14:textId="7D2E233D" w:rsidR="00CC6225" w:rsidRDefault="00596DA4" w:rsidP="00CC622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P</w:t>
            </w:r>
            <w:r w:rsidRPr="00CC6225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roducts &gt;25W within IEC 61000-3-2</w:t>
            </w:r>
            <w:r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 (t</w:t>
            </w:r>
            <w:r w:rsidRPr="00CC6225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able 2</w:t>
            </w:r>
            <w:r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)</w:t>
            </w:r>
            <w:r w:rsidR="00F94F6E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 set l</w:t>
            </w:r>
            <w:r w:rsidRPr="00CC6225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imits for Class C equipment</w:t>
            </w:r>
            <w:r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 </w:t>
            </w:r>
            <w:r w:rsidR="00CC6225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   </w:t>
            </w:r>
            <w:r w:rsidR="00CC6225">
              <w:rPr>
                <w:rFonts w:ascii="Calibri" w:hAnsi="Calibri"/>
                <w:noProof/>
                <w:color w:val="000000"/>
                <w:lang w:val="pl-PL" w:eastAsia="pl-PL"/>
              </w:rPr>
              <w:drawing>
                <wp:inline distT="0" distB="0" distL="0" distR="0" wp14:anchorId="1B127DE0" wp14:editId="2F73AC81">
                  <wp:extent cx="2609850" cy="1589405"/>
                  <wp:effectExtent l="0" t="0" r="0" b="0"/>
                  <wp:docPr id="16" name="Picture 16" descr="Maximum Permissable Harmonic Current For Products &gt;25W for harmonic orders from N=2 " title="Maximum Permissable Harmonic Current For Products &gt;25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1" t="2909" r="1761"/>
                          <a:stretch/>
                        </pic:blipFill>
                        <pic:spPr bwMode="auto">
                          <a:xfrm>
                            <a:off x="0" y="0"/>
                            <a:ext cx="2609850" cy="1589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3AEE4D" w14:textId="182B922E" w:rsidR="00596DA4" w:rsidRPr="00B32542" w:rsidRDefault="00596DA4" w:rsidP="00F94F6E">
            <w:pPr>
              <w:spacing w:before="12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AU"/>
              </w:rPr>
            </w:pPr>
            <w:r w:rsidRPr="00CC6225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For products 5W &lt; P ≤ 25W: requirement</w:t>
            </w:r>
            <w:r w:rsidR="00F94F6E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s are</w:t>
            </w:r>
            <w:r w:rsidRPr="00CC6225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 to be developed </w:t>
            </w:r>
            <w:r w:rsidR="00F94F6E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in </w:t>
            </w:r>
            <w:r w:rsidRPr="00CC6225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pending amendment to 61000-3-2</w:t>
            </w:r>
            <w:r w:rsidR="00F94F6E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. </w:t>
            </w:r>
          </w:p>
        </w:tc>
      </w:tr>
      <w:tr w:rsidR="00F55211" w:rsidRPr="00B32542" w14:paraId="399AF309" w14:textId="77777777" w:rsidTr="000D5DAE">
        <w:trPr>
          <w:trHeight w:val="698"/>
        </w:trPr>
        <w:tc>
          <w:tcPr>
            <w:tcW w:w="1696" w:type="dxa"/>
            <w:vAlign w:val="center"/>
          </w:tcPr>
          <w:p w14:paraId="2A263440" w14:textId="0BD7D4BE" w:rsidR="00F55211" w:rsidRPr="00B32542" w:rsidRDefault="00F55211" w:rsidP="00F94F6E">
            <w:pPr>
              <w:spacing w:before="120" w:after="0"/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</w:pPr>
            <w:r w:rsidRPr="00B32542"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  <w:t>Dimmer operation</w:t>
            </w:r>
          </w:p>
        </w:tc>
        <w:tc>
          <w:tcPr>
            <w:tcW w:w="13044" w:type="dxa"/>
            <w:gridSpan w:val="8"/>
            <w:noWrap/>
            <w:vAlign w:val="center"/>
          </w:tcPr>
          <w:p w14:paraId="11CB26C4" w14:textId="21A2CB2E" w:rsidR="00F55211" w:rsidRPr="00B32542" w:rsidRDefault="00F55211" w:rsidP="00F94F6E">
            <w:pPr>
              <w:spacing w:before="240" w:after="120" w:line="240" w:lineRule="auto"/>
              <w:rPr>
                <w:rFonts w:ascii="Calibri" w:eastAsia="Times New Roman" w:hAnsi="Calibri" w:cs="Times New Roman"/>
                <w:color w:val="000000"/>
                <w:lang w:val="en-GB" w:eastAsia="en-AU"/>
              </w:rPr>
            </w:pP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Dim smoothly to 30% with no observable flicker and no audible noise. When dimmer is set to 100%, light output ≥ 90% of luminous flux without dimmer.</w:t>
            </w:r>
            <w:r w:rsidR="00767FA9"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 </w:t>
            </w:r>
          </w:p>
        </w:tc>
      </w:tr>
      <w:tr w:rsidR="00F55211" w:rsidRPr="00B32542" w14:paraId="4DC91B98" w14:textId="77777777" w:rsidTr="000D5DAE">
        <w:trPr>
          <w:trHeight w:val="967"/>
        </w:trPr>
        <w:tc>
          <w:tcPr>
            <w:tcW w:w="1696" w:type="dxa"/>
            <w:vAlign w:val="center"/>
            <w:hideMark/>
          </w:tcPr>
          <w:p w14:paraId="0ED8DF33" w14:textId="2F9F49CF" w:rsidR="00F55211" w:rsidRPr="00B32542" w:rsidRDefault="00F55211" w:rsidP="00FE3888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</w:pPr>
            <w:r w:rsidRPr="00B32542"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  <w:lastRenderedPageBreak/>
              <w:t>Dimmer compatibility</w:t>
            </w:r>
            <w:r w:rsidR="003337CD" w:rsidRPr="00B32542">
              <w:rPr>
                <w:rStyle w:val="Odwoanieprzypisudolnego"/>
                <w:rFonts w:ascii="Calibri" w:eastAsia="Times New Roman" w:hAnsi="Calibri" w:cs="Times New Roman"/>
                <w:b/>
                <w:color w:val="000000"/>
                <w:lang w:val="en-GB" w:eastAsia="en-AU"/>
              </w:rPr>
              <w:footnoteReference w:id="17"/>
            </w:r>
          </w:p>
        </w:tc>
        <w:tc>
          <w:tcPr>
            <w:tcW w:w="13044" w:type="dxa"/>
            <w:gridSpan w:val="8"/>
            <w:noWrap/>
            <w:vAlign w:val="center"/>
            <w:hideMark/>
          </w:tcPr>
          <w:p w14:paraId="67E16ABF" w14:textId="7934C7BD" w:rsidR="00F55211" w:rsidRPr="00B32542" w:rsidRDefault="00F55211" w:rsidP="003F2B9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lang w:val="en-GB" w:eastAsia="en-AU"/>
              </w:rPr>
            </w:pPr>
            <w:r w:rsidRPr="00B32542">
              <w:rPr>
                <w:rFonts w:ascii="Calibri" w:hAnsi="Calibri" w:cs="Calibri"/>
                <w:lang w:val="en-GB"/>
              </w:rPr>
              <w:t>For dimmable products, the manufacturer shall: (a) declare the conditions under which the luminaire will dim; (b) provide a web address for a webpage that lists compatible dimmers; and (c) for each compatible dimmer, the number of luminaires that can be dimmed and the range of luminous flux levels a given dimmer-luminaire combination can achieve.</w:t>
            </w:r>
            <w:r w:rsidRPr="00B32542" w:rsidDel="00F55211">
              <w:rPr>
                <w:rFonts w:ascii="Calibri" w:eastAsia="Times New Roman" w:hAnsi="Calibri" w:cs="Times New Roman"/>
                <w:color w:val="000000"/>
                <w:highlight w:val="lightGray"/>
                <w:lang w:val="en-GB" w:eastAsia="en-AU"/>
              </w:rPr>
              <w:t xml:space="preserve"> </w:t>
            </w:r>
          </w:p>
        </w:tc>
      </w:tr>
      <w:tr w:rsidR="00AE2FEF" w:rsidRPr="00B32542" w14:paraId="5E507065" w14:textId="77777777" w:rsidTr="000D5DAE">
        <w:trPr>
          <w:trHeight w:val="737"/>
        </w:trPr>
        <w:tc>
          <w:tcPr>
            <w:tcW w:w="1696" w:type="dxa"/>
            <w:vAlign w:val="center"/>
            <w:hideMark/>
          </w:tcPr>
          <w:p w14:paraId="20E80949" w14:textId="74D19B42" w:rsidR="00AE2FEF" w:rsidRPr="00B32542" w:rsidRDefault="00AE2FEF" w:rsidP="00191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AU"/>
              </w:rPr>
            </w:pPr>
            <w:r w:rsidRPr="00B32542"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  <w:t>Transformer compatibility</w:t>
            </w:r>
          </w:p>
        </w:tc>
        <w:tc>
          <w:tcPr>
            <w:tcW w:w="4923" w:type="dxa"/>
            <w:gridSpan w:val="3"/>
            <w:noWrap/>
            <w:vAlign w:val="center"/>
            <w:hideMark/>
          </w:tcPr>
          <w:p w14:paraId="00C75312" w14:textId="77A63C63" w:rsidR="00AE2FEF" w:rsidRPr="00B32542" w:rsidRDefault="00AE2FEF" w:rsidP="0076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AU"/>
              </w:rPr>
            </w:pPr>
            <w:r w:rsidRPr="00B32542">
              <w:rPr>
                <w:rFonts w:ascii="Calibri" w:hAnsi="Calibri" w:cs="Calibri"/>
                <w:lang w:val="en-GB"/>
              </w:rPr>
              <w:t>For lamps operat</w:t>
            </w:r>
            <w:r w:rsidR="002A1D40" w:rsidRPr="00B32542">
              <w:rPr>
                <w:rFonts w:ascii="Calibri" w:hAnsi="Calibri" w:cs="Calibri"/>
                <w:lang w:val="en-GB"/>
              </w:rPr>
              <w:t>ing</w:t>
            </w:r>
            <w:r w:rsidR="00767FA9" w:rsidRPr="00B32542">
              <w:rPr>
                <w:rFonts w:ascii="Calibri" w:hAnsi="Calibri" w:cs="Calibri"/>
                <w:lang w:val="en-GB"/>
              </w:rPr>
              <w:t xml:space="preserve"> on transformers</w:t>
            </w:r>
            <w:r w:rsidR="002A1D40" w:rsidRPr="00B32542">
              <w:rPr>
                <w:rFonts w:ascii="Calibri" w:hAnsi="Calibri" w:cs="Calibri"/>
                <w:lang w:val="en-GB"/>
              </w:rPr>
              <w:t>,</w:t>
            </w:r>
            <w:r w:rsidRPr="00B32542">
              <w:rPr>
                <w:rFonts w:ascii="Calibri" w:hAnsi="Calibri" w:cs="Calibri"/>
                <w:lang w:val="en-GB"/>
              </w:rPr>
              <w:t xml:space="preserve"> the manufac</w:t>
            </w:r>
            <w:r w:rsidR="00767FA9" w:rsidRPr="00B32542">
              <w:rPr>
                <w:rFonts w:ascii="Calibri" w:hAnsi="Calibri" w:cs="Calibri"/>
                <w:lang w:val="en-GB"/>
              </w:rPr>
              <w:softHyphen/>
            </w:r>
            <w:r w:rsidRPr="00B32542">
              <w:rPr>
                <w:rFonts w:ascii="Calibri" w:hAnsi="Calibri" w:cs="Calibri"/>
                <w:lang w:val="en-GB"/>
              </w:rPr>
              <w:t>turer shall provide a list of</w:t>
            </w:r>
            <w:r w:rsidR="002A1D40" w:rsidRPr="00B32542">
              <w:rPr>
                <w:rFonts w:ascii="Calibri" w:hAnsi="Calibri" w:cs="Calibri"/>
                <w:lang w:val="en-GB"/>
              </w:rPr>
              <w:t xml:space="preserve"> </w:t>
            </w:r>
            <w:r w:rsidRPr="00B32542">
              <w:rPr>
                <w:rFonts w:ascii="Calibri" w:hAnsi="Calibri" w:cs="Calibri"/>
                <w:lang w:val="en-GB"/>
              </w:rPr>
              <w:t>compatible transformers.</w:t>
            </w:r>
          </w:p>
        </w:tc>
        <w:tc>
          <w:tcPr>
            <w:tcW w:w="8121" w:type="dxa"/>
            <w:gridSpan w:val="5"/>
            <w:vAlign w:val="center"/>
          </w:tcPr>
          <w:p w14:paraId="1C3CA9F2" w14:textId="0F13DA04" w:rsidR="00AE2FEF" w:rsidRPr="00B32542" w:rsidRDefault="00767FA9" w:rsidP="00767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  <w:lang w:val="en-GB" w:eastAsia="en-AU"/>
              </w:rPr>
            </w:pP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>Not actual</w:t>
            </w:r>
          </w:p>
        </w:tc>
      </w:tr>
      <w:tr w:rsidR="00DF3243" w:rsidRPr="00B32542" w14:paraId="7458F8BB" w14:textId="77777777" w:rsidTr="000D5DAE">
        <w:trPr>
          <w:trHeight w:val="737"/>
        </w:trPr>
        <w:tc>
          <w:tcPr>
            <w:tcW w:w="1696" w:type="dxa"/>
            <w:vAlign w:val="center"/>
          </w:tcPr>
          <w:p w14:paraId="7B088D00" w14:textId="64CAAF17" w:rsidR="00DF3243" w:rsidRPr="00B32542" w:rsidRDefault="00DF3243" w:rsidP="003F2B9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</w:pPr>
            <w:r w:rsidRPr="00B32542"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  <w:t>Ambient temperature</w:t>
            </w:r>
            <w:r w:rsidR="00C14108" w:rsidRPr="00B32542"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  <w:t xml:space="preserve"> control</w:t>
            </w:r>
          </w:p>
        </w:tc>
        <w:tc>
          <w:tcPr>
            <w:tcW w:w="13044" w:type="dxa"/>
            <w:gridSpan w:val="8"/>
            <w:noWrap/>
            <w:vAlign w:val="center"/>
          </w:tcPr>
          <w:p w14:paraId="77F104FB" w14:textId="37E4EFAE" w:rsidR="00DF3243" w:rsidRPr="00B32542" w:rsidRDefault="00C14108" w:rsidP="003F2B97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AU"/>
              </w:rPr>
            </w:pPr>
            <w:r w:rsidRPr="00B32542">
              <w:rPr>
                <w:rFonts w:cs="Arial"/>
                <w:lang w:val="en-GB"/>
              </w:rPr>
              <w:t xml:space="preserve">It should be informed if an automatic control of the operating current is included for control of the operating temperature </w:t>
            </w:r>
            <w:r w:rsidR="007806C0" w:rsidRPr="00B32542">
              <w:rPr>
                <w:rFonts w:cs="Arial"/>
                <w:lang w:val="en-GB"/>
              </w:rPr>
              <w:t xml:space="preserve">stays </w:t>
            </w:r>
            <w:r w:rsidRPr="00B32542">
              <w:rPr>
                <w:rFonts w:cs="Arial"/>
                <w:lang w:val="en-GB"/>
              </w:rPr>
              <w:t>at a level</w:t>
            </w:r>
            <w:r w:rsidR="007806C0" w:rsidRPr="00B32542">
              <w:rPr>
                <w:rFonts w:cs="Arial"/>
                <w:lang w:val="en-GB"/>
              </w:rPr>
              <w:t xml:space="preserve"> where that </w:t>
            </w:r>
            <w:r w:rsidRPr="00B32542">
              <w:rPr>
                <w:rFonts w:cs="Arial"/>
                <w:lang w:val="en-GB"/>
              </w:rPr>
              <w:t xml:space="preserve">ensure </w:t>
            </w:r>
            <w:r w:rsidR="007806C0" w:rsidRPr="00B32542">
              <w:rPr>
                <w:rFonts w:cs="Arial"/>
                <w:lang w:val="en-GB"/>
              </w:rPr>
              <w:t xml:space="preserve">the </w:t>
            </w:r>
            <w:r w:rsidRPr="00B32542">
              <w:rPr>
                <w:rFonts w:cs="Arial"/>
                <w:lang w:val="en-GB"/>
              </w:rPr>
              <w:t xml:space="preserve">expected longevity of </w:t>
            </w:r>
            <w:r w:rsidR="007806C0" w:rsidRPr="00B32542">
              <w:rPr>
                <w:rFonts w:cs="Arial"/>
                <w:lang w:val="en-GB"/>
              </w:rPr>
              <w:t>t</w:t>
            </w:r>
            <w:r w:rsidRPr="00B32542">
              <w:rPr>
                <w:rFonts w:cs="Arial"/>
                <w:lang w:val="en-GB"/>
              </w:rPr>
              <w:t>he LED. In case th</w:t>
            </w:r>
            <w:r w:rsidR="007806C0" w:rsidRPr="00B32542">
              <w:rPr>
                <w:rFonts w:cs="Arial"/>
                <w:lang w:val="en-GB"/>
              </w:rPr>
              <w:t xml:space="preserve">is kind of </w:t>
            </w:r>
            <w:r w:rsidRPr="00B32542">
              <w:rPr>
                <w:rFonts w:cs="Arial"/>
                <w:lang w:val="en-GB"/>
              </w:rPr>
              <w:t>automatic control</w:t>
            </w:r>
            <w:r w:rsidR="007806C0" w:rsidRPr="00B32542">
              <w:rPr>
                <w:rFonts w:cs="Arial"/>
                <w:lang w:val="en-GB"/>
              </w:rPr>
              <w:t xml:space="preserve"> isn’t included</w:t>
            </w:r>
            <w:r w:rsidRPr="00B32542">
              <w:rPr>
                <w:rFonts w:cs="Arial"/>
                <w:lang w:val="en-GB"/>
              </w:rPr>
              <w:t xml:space="preserve">, the recommended maximum ambient temperature should be informed. </w:t>
            </w:r>
          </w:p>
        </w:tc>
      </w:tr>
      <w:tr w:rsidR="007806C0" w:rsidRPr="00B32542" w14:paraId="5D1014A9" w14:textId="77777777" w:rsidTr="000D5DAE">
        <w:trPr>
          <w:trHeight w:val="650"/>
        </w:trPr>
        <w:tc>
          <w:tcPr>
            <w:tcW w:w="1696" w:type="dxa"/>
            <w:vAlign w:val="center"/>
          </w:tcPr>
          <w:p w14:paraId="60DCC52C" w14:textId="4734E95F" w:rsidR="007806C0" w:rsidRPr="00B32542" w:rsidRDefault="003F2B97" w:rsidP="007806C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  <w:t>D</w:t>
            </w:r>
            <w:r w:rsidR="007806C0" w:rsidRPr="00B32542"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  <w:t>river</w:t>
            </w:r>
          </w:p>
        </w:tc>
        <w:tc>
          <w:tcPr>
            <w:tcW w:w="13044" w:type="dxa"/>
            <w:gridSpan w:val="8"/>
            <w:noWrap/>
            <w:vAlign w:val="center"/>
          </w:tcPr>
          <w:p w14:paraId="108518AB" w14:textId="58FDEE29" w:rsidR="007806C0" w:rsidRPr="00B32542" w:rsidRDefault="00B32542" w:rsidP="00B32542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lang w:val="en-GB"/>
              </w:rPr>
              <w:t>In case the driver is replac</w:t>
            </w:r>
            <w:r w:rsidRPr="00B32542">
              <w:rPr>
                <w:lang w:val="en-GB"/>
              </w:rPr>
              <w:t>eable</w:t>
            </w:r>
            <w:r w:rsidR="007806C0" w:rsidRPr="00B32542">
              <w:rPr>
                <w:lang w:val="en-GB"/>
              </w:rPr>
              <w:t xml:space="preserve">, the type of type of </w:t>
            </w:r>
            <w:r w:rsidR="00966FF7" w:rsidRPr="00B32542">
              <w:rPr>
                <w:lang w:val="en-GB"/>
              </w:rPr>
              <w:t>d</w:t>
            </w:r>
            <w:r w:rsidR="007806C0" w:rsidRPr="00B32542">
              <w:rPr>
                <w:lang w:val="en-GB"/>
              </w:rPr>
              <w:t>r</w:t>
            </w:r>
            <w:r w:rsidR="00966FF7" w:rsidRPr="00B32542">
              <w:rPr>
                <w:lang w:val="en-GB"/>
              </w:rPr>
              <w:t>i</w:t>
            </w:r>
            <w:r w:rsidR="007806C0" w:rsidRPr="00B32542">
              <w:rPr>
                <w:lang w:val="en-GB"/>
              </w:rPr>
              <w:t>ver h</w:t>
            </w:r>
            <w:r>
              <w:rPr>
                <w:lang w:val="en-GB"/>
              </w:rPr>
              <w:t xml:space="preserve">as </w:t>
            </w:r>
            <w:r w:rsidR="007806C0" w:rsidRPr="00B32542">
              <w:rPr>
                <w:lang w:val="en-GB"/>
              </w:rPr>
              <w:t>to be informed (SELV (Safety Extra Low Voltage) or NON-SELV).</w:t>
            </w:r>
          </w:p>
        </w:tc>
      </w:tr>
      <w:tr w:rsidR="00AE2FEF" w:rsidRPr="00B32542" w14:paraId="3CF0CFB1" w14:textId="77777777" w:rsidTr="000D5DAE">
        <w:trPr>
          <w:trHeight w:val="274"/>
        </w:trPr>
        <w:tc>
          <w:tcPr>
            <w:tcW w:w="14740" w:type="dxa"/>
            <w:gridSpan w:val="9"/>
            <w:shd w:val="clear" w:color="auto" w:fill="C6D9F1" w:themeFill="text2" w:themeFillTint="33"/>
            <w:vAlign w:val="center"/>
          </w:tcPr>
          <w:p w14:paraId="1D2F5C33" w14:textId="5124340D" w:rsidR="00AE2FEF" w:rsidRPr="006E39D9" w:rsidRDefault="00AE2FEF" w:rsidP="00B430F8">
            <w:pPr>
              <w:spacing w:before="120" w:after="12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 w:eastAsia="en-AU"/>
              </w:rPr>
            </w:pPr>
            <w:r w:rsidRPr="006E39D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 w:eastAsia="en-AU"/>
              </w:rPr>
              <w:t>Health</w:t>
            </w:r>
          </w:p>
        </w:tc>
      </w:tr>
      <w:tr w:rsidR="00AE2FEF" w:rsidRPr="00B32542" w14:paraId="0C562793" w14:textId="77777777" w:rsidTr="000D5DAE">
        <w:trPr>
          <w:trHeight w:val="569"/>
        </w:trPr>
        <w:tc>
          <w:tcPr>
            <w:tcW w:w="1696" w:type="dxa"/>
            <w:vAlign w:val="center"/>
            <w:hideMark/>
          </w:tcPr>
          <w:p w14:paraId="3B55B754" w14:textId="3A950671" w:rsidR="00AE2FEF" w:rsidRPr="00B32542" w:rsidRDefault="00AE2FEF" w:rsidP="003F2B97">
            <w:pPr>
              <w:spacing w:before="120"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</w:pPr>
            <w:r w:rsidRPr="00B32542"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  <w:t>Photo-biolo</w:t>
            </w:r>
            <w:r w:rsidRPr="00B32542"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  <w:softHyphen/>
              <w:t>gical Safety</w:t>
            </w:r>
          </w:p>
        </w:tc>
        <w:tc>
          <w:tcPr>
            <w:tcW w:w="13044" w:type="dxa"/>
            <w:gridSpan w:val="8"/>
            <w:noWrap/>
            <w:vAlign w:val="center"/>
            <w:hideMark/>
          </w:tcPr>
          <w:p w14:paraId="72E668FA" w14:textId="3E308370" w:rsidR="00AE2FEF" w:rsidRPr="00B32542" w:rsidRDefault="00AE2FEF" w:rsidP="003F2B97">
            <w:pPr>
              <w:spacing w:before="120" w:after="0"/>
              <w:rPr>
                <w:rFonts w:ascii="Calibri" w:eastAsia="Times New Roman" w:hAnsi="Calibri" w:cs="Times New Roman"/>
                <w:color w:val="000000"/>
                <w:highlight w:val="lightGray"/>
                <w:lang w:val="en-GB" w:eastAsia="en-AU"/>
              </w:rPr>
            </w:pP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 xml:space="preserve">                                           Blue Light &amp; UV hazards shall be either RG0 or RG1 unlimited</w:t>
            </w:r>
            <w:r w:rsidRPr="00B32542">
              <w:rPr>
                <w:rStyle w:val="Odwoanieprzypisudolnego"/>
                <w:rFonts w:ascii="Calibri" w:eastAsia="Times New Roman" w:hAnsi="Calibri" w:cs="Times New Roman"/>
                <w:color w:val="000000"/>
                <w:lang w:val="en-GB" w:eastAsia="en-AU"/>
              </w:rPr>
              <w:footnoteReference w:id="18"/>
            </w:r>
          </w:p>
        </w:tc>
      </w:tr>
      <w:tr w:rsidR="00AE2FEF" w:rsidRPr="00B32542" w14:paraId="6CA5D643" w14:textId="77777777" w:rsidTr="000D5DAE">
        <w:trPr>
          <w:trHeight w:val="641"/>
        </w:trPr>
        <w:tc>
          <w:tcPr>
            <w:tcW w:w="1696" w:type="dxa"/>
            <w:vAlign w:val="center"/>
            <w:hideMark/>
          </w:tcPr>
          <w:p w14:paraId="0349EB09" w14:textId="77777777" w:rsidR="00AE2FEF" w:rsidRPr="00B32542" w:rsidRDefault="00AE2FEF" w:rsidP="00131D76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</w:pPr>
            <w:r w:rsidRPr="00B32542"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  <w:t>Flicker</w:t>
            </w:r>
          </w:p>
        </w:tc>
        <w:tc>
          <w:tcPr>
            <w:tcW w:w="13044" w:type="dxa"/>
            <w:gridSpan w:val="8"/>
            <w:noWrap/>
            <w:vAlign w:val="center"/>
            <w:hideMark/>
          </w:tcPr>
          <w:tbl>
            <w:tblPr>
              <w:tblW w:w="0" w:type="auto"/>
              <w:tblInd w:w="1421" w:type="dxa"/>
              <w:tblLayout w:type="fixed"/>
              <w:tblLook w:val="04A0" w:firstRow="1" w:lastRow="0" w:firstColumn="1" w:lastColumn="0" w:noHBand="0" w:noVBand="1"/>
            </w:tblPr>
            <w:tblGrid>
              <w:gridCol w:w="3628"/>
              <w:gridCol w:w="5283"/>
            </w:tblGrid>
            <w:tr w:rsidR="00AE2FEF" w:rsidRPr="00B32542" w14:paraId="00235E64" w14:textId="77777777" w:rsidTr="003F2B97">
              <w:trPr>
                <w:trHeight w:val="260"/>
              </w:trPr>
              <w:tc>
                <w:tcPr>
                  <w:tcW w:w="3628" w:type="dxa"/>
                  <w:shd w:val="clear" w:color="auto" w:fill="auto"/>
                  <w:vAlign w:val="center"/>
                </w:tcPr>
                <w:p w14:paraId="7D0892D2" w14:textId="77777777" w:rsidR="00AE2FEF" w:rsidRPr="00B32542" w:rsidRDefault="00AE2FEF" w:rsidP="00131D76">
                  <w:pPr>
                    <w:spacing w:after="0" w:line="240" w:lineRule="auto"/>
                    <w:jc w:val="center"/>
                    <w:rPr>
                      <w:rFonts w:ascii="Calibri" w:hAnsi="Calibri"/>
                      <w:b/>
                      <w:color w:val="000000"/>
                      <w:lang w:val="en-GB"/>
                    </w:rPr>
                  </w:pPr>
                  <w:r w:rsidRPr="00B32542">
                    <w:rPr>
                      <w:rFonts w:ascii="Calibri" w:hAnsi="Calibri"/>
                      <w:b/>
                      <w:color w:val="000000"/>
                      <w:lang w:val="en-GB"/>
                    </w:rPr>
                    <w:t>f: Flicker frequency (Hz)</w:t>
                  </w:r>
                </w:p>
              </w:tc>
              <w:tc>
                <w:tcPr>
                  <w:tcW w:w="5283" w:type="dxa"/>
                  <w:shd w:val="clear" w:color="auto" w:fill="auto"/>
                  <w:vAlign w:val="center"/>
                </w:tcPr>
                <w:p w14:paraId="4CF578AD" w14:textId="104F02CE" w:rsidR="00AE2FEF" w:rsidRPr="00B32542" w:rsidRDefault="00AE2FEF" w:rsidP="00131D76">
                  <w:pPr>
                    <w:spacing w:after="0" w:line="240" w:lineRule="auto"/>
                    <w:jc w:val="center"/>
                    <w:rPr>
                      <w:rFonts w:ascii="Calibri" w:hAnsi="Calibri"/>
                      <w:b/>
                      <w:color w:val="000000"/>
                      <w:lang w:val="en-GB"/>
                    </w:rPr>
                  </w:pPr>
                  <w:r w:rsidRPr="00B32542">
                    <w:rPr>
                      <w:rFonts w:ascii="Calibri" w:hAnsi="Calibri"/>
                      <w:b/>
                      <w:color w:val="000000"/>
                      <w:lang w:val="en-GB"/>
                    </w:rPr>
                    <w:t xml:space="preserve">FM: Flicker modulation </w:t>
                  </w:r>
                  <w:r w:rsidR="001918B4" w:rsidRPr="00B32542">
                    <w:rPr>
                      <w:rFonts w:ascii="Calibri" w:hAnsi="Calibri"/>
                      <w:b/>
                      <w:color w:val="000000"/>
                      <w:lang w:val="en-GB"/>
                    </w:rPr>
                    <w:t xml:space="preserve">maximum </w:t>
                  </w:r>
                  <w:r w:rsidRPr="00B32542">
                    <w:rPr>
                      <w:rFonts w:ascii="Calibri" w:hAnsi="Calibri"/>
                      <w:b/>
                      <w:color w:val="000000"/>
                      <w:lang w:val="en-GB"/>
                    </w:rPr>
                    <w:t>(%)</w:t>
                  </w:r>
                  <w:r w:rsidR="001918B4" w:rsidRPr="00B32542">
                    <w:rPr>
                      <w:rStyle w:val="Odwoanieprzypisudolnego"/>
                      <w:lang w:val="en-GB"/>
                    </w:rPr>
                    <w:footnoteReference w:id="19"/>
                  </w:r>
                </w:p>
              </w:tc>
            </w:tr>
            <w:tr w:rsidR="00AE2FEF" w:rsidRPr="00B32542" w14:paraId="36B6629D" w14:textId="77777777" w:rsidTr="003F2B97">
              <w:trPr>
                <w:trHeight w:val="276"/>
              </w:trPr>
              <w:tc>
                <w:tcPr>
                  <w:tcW w:w="3628" w:type="dxa"/>
                  <w:shd w:val="clear" w:color="auto" w:fill="auto"/>
                  <w:vAlign w:val="center"/>
                </w:tcPr>
                <w:p w14:paraId="67E8D820" w14:textId="77777777" w:rsidR="00AE2FEF" w:rsidRPr="00B32542" w:rsidRDefault="00AE2FEF" w:rsidP="00131D76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val="en-GB"/>
                    </w:rPr>
                  </w:pPr>
                  <w:r w:rsidRPr="00B32542">
                    <w:rPr>
                      <w:rFonts w:ascii="Calibri" w:hAnsi="Calibri"/>
                      <w:color w:val="000000"/>
                      <w:lang w:val="en-GB"/>
                    </w:rPr>
                    <w:t>f ≤ 90Hz</w:t>
                  </w:r>
                </w:p>
              </w:tc>
              <w:tc>
                <w:tcPr>
                  <w:tcW w:w="5283" w:type="dxa"/>
                  <w:shd w:val="clear" w:color="auto" w:fill="auto"/>
                  <w:vAlign w:val="center"/>
                </w:tcPr>
                <w:p w14:paraId="6AB82D7F" w14:textId="77777777" w:rsidR="00AE2FEF" w:rsidRPr="00B32542" w:rsidRDefault="00AE2FEF" w:rsidP="00131D76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val="en-GB"/>
                    </w:rPr>
                  </w:pPr>
                  <w:r w:rsidRPr="00B32542">
                    <w:rPr>
                      <w:rFonts w:ascii="Calibri" w:hAnsi="Calibri"/>
                      <w:color w:val="000000"/>
                      <w:lang w:val="en-GB"/>
                    </w:rPr>
                    <w:t>FM ≤ (0.025 × f)</w:t>
                  </w:r>
                </w:p>
              </w:tc>
            </w:tr>
            <w:tr w:rsidR="00AE2FEF" w:rsidRPr="00B32542" w14:paraId="6A8F6DBE" w14:textId="77777777" w:rsidTr="003F2B97">
              <w:trPr>
                <w:trHeight w:val="276"/>
              </w:trPr>
              <w:tc>
                <w:tcPr>
                  <w:tcW w:w="3628" w:type="dxa"/>
                  <w:shd w:val="clear" w:color="auto" w:fill="auto"/>
                  <w:vAlign w:val="center"/>
                </w:tcPr>
                <w:p w14:paraId="0DF1F615" w14:textId="77777777" w:rsidR="00AE2FEF" w:rsidRPr="00B32542" w:rsidRDefault="00AE2FEF" w:rsidP="00131D76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val="en-GB"/>
                    </w:rPr>
                  </w:pPr>
                  <w:r w:rsidRPr="00B32542">
                    <w:rPr>
                      <w:rFonts w:ascii="Calibri" w:hAnsi="Calibri"/>
                      <w:color w:val="000000"/>
                      <w:lang w:val="en-GB"/>
                    </w:rPr>
                    <w:t>90Hz ≤ f ≤ 1250Hz</w:t>
                  </w:r>
                </w:p>
              </w:tc>
              <w:tc>
                <w:tcPr>
                  <w:tcW w:w="5283" w:type="dxa"/>
                  <w:shd w:val="clear" w:color="auto" w:fill="auto"/>
                  <w:vAlign w:val="center"/>
                </w:tcPr>
                <w:p w14:paraId="167A3D54" w14:textId="77777777" w:rsidR="00AE2FEF" w:rsidRPr="00B32542" w:rsidRDefault="00AE2FEF" w:rsidP="00131D76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val="en-GB"/>
                    </w:rPr>
                  </w:pPr>
                  <w:r w:rsidRPr="00B32542">
                    <w:rPr>
                      <w:rFonts w:ascii="Calibri" w:hAnsi="Calibri"/>
                      <w:color w:val="000000"/>
                      <w:lang w:val="en-GB"/>
                    </w:rPr>
                    <w:t>FM ≤ (0.08 × f)</w:t>
                  </w:r>
                </w:p>
              </w:tc>
            </w:tr>
            <w:tr w:rsidR="00AE2FEF" w:rsidRPr="00B32542" w14:paraId="454CFC5E" w14:textId="77777777" w:rsidTr="003F2B97">
              <w:trPr>
                <w:trHeight w:val="276"/>
              </w:trPr>
              <w:tc>
                <w:tcPr>
                  <w:tcW w:w="3628" w:type="dxa"/>
                  <w:shd w:val="clear" w:color="auto" w:fill="auto"/>
                  <w:vAlign w:val="center"/>
                </w:tcPr>
                <w:p w14:paraId="1B721500" w14:textId="77777777" w:rsidR="00AE2FEF" w:rsidRPr="00B32542" w:rsidRDefault="00AE2FEF" w:rsidP="00131D76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val="en-GB"/>
                    </w:rPr>
                  </w:pPr>
                  <w:r w:rsidRPr="00B32542">
                    <w:rPr>
                      <w:rFonts w:ascii="Calibri" w:hAnsi="Calibri"/>
                      <w:color w:val="000000"/>
                      <w:lang w:val="en-GB"/>
                    </w:rPr>
                    <w:t>f &gt; 1250Hz</w:t>
                  </w:r>
                </w:p>
              </w:tc>
              <w:tc>
                <w:tcPr>
                  <w:tcW w:w="5283" w:type="dxa"/>
                  <w:shd w:val="clear" w:color="auto" w:fill="auto"/>
                  <w:vAlign w:val="center"/>
                </w:tcPr>
                <w:p w14:paraId="029C67F6" w14:textId="5640426E" w:rsidR="00AE2FEF" w:rsidRPr="00B32542" w:rsidRDefault="00AE2FEF" w:rsidP="00131D76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val="en-GB"/>
                    </w:rPr>
                  </w:pPr>
                  <w:r w:rsidRPr="00B32542">
                    <w:rPr>
                      <w:rFonts w:ascii="Calibri" w:hAnsi="Calibri"/>
                      <w:color w:val="000000"/>
                      <w:lang w:val="en-GB"/>
                    </w:rPr>
                    <w:t>No FM requirement</w:t>
                  </w:r>
                </w:p>
              </w:tc>
            </w:tr>
          </w:tbl>
          <w:p w14:paraId="2C6653B3" w14:textId="5A7B4976" w:rsidR="00AE2FEF" w:rsidRPr="00B32542" w:rsidRDefault="00AE2FEF" w:rsidP="008276BE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  <w:lang w:val="en-GB" w:eastAsia="en-AU"/>
              </w:rPr>
            </w:pPr>
          </w:p>
        </w:tc>
      </w:tr>
      <w:tr w:rsidR="00AE2FEF" w:rsidRPr="00B32542" w14:paraId="1003C93D" w14:textId="77777777" w:rsidTr="000D5DAE">
        <w:trPr>
          <w:trHeight w:val="552"/>
        </w:trPr>
        <w:tc>
          <w:tcPr>
            <w:tcW w:w="1696" w:type="dxa"/>
            <w:vAlign w:val="center"/>
          </w:tcPr>
          <w:p w14:paraId="7479952A" w14:textId="77777777" w:rsidR="00AE2FEF" w:rsidRPr="00B32542" w:rsidRDefault="00AE2FEF" w:rsidP="00C80E6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</w:pPr>
            <w:r w:rsidRPr="00B32542"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  <w:t>Glare</w:t>
            </w:r>
          </w:p>
        </w:tc>
        <w:tc>
          <w:tcPr>
            <w:tcW w:w="1953" w:type="dxa"/>
            <w:noWrap/>
            <w:vAlign w:val="center"/>
          </w:tcPr>
          <w:p w14:paraId="2CBD1F04" w14:textId="081BD8BD" w:rsidR="00AE2FEF" w:rsidRPr="00B32542" w:rsidRDefault="00AE2FEF" w:rsidP="00B134F3">
            <w:pPr>
              <w:spacing w:after="0"/>
              <w:rPr>
                <w:rFonts w:ascii="Calibri" w:eastAsia="Times New Roman" w:hAnsi="Calibri" w:cs="Times New Roman"/>
                <w:color w:val="000000"/>
                <w:lang w:val="en-GB" w:eastAsia="en-AU"/>
              </w:rPr>
            </w:pPr>
            <w:r w:rsidRPr="00B32542">
              <w:rPr>
                <w:rFonts w:ascii="Calibri" w:eastAsia="Times New Roman" w:hAnsi="Calibri" w:cs="Times New Roman"/>
                <w:color w:val="000000"/>
                <w:lang w:val="en-GB" w:eastAsia="en-AU"/>
              </w:rPr>
              <w:tab/>
              <w:t>N/A</w:t>
            </w:r>
          </w:p>
        </w:tc>
        <w:tc>
          <w:tcPr>
            <w:tcW w:w="11091" w:type="dxa"/>
            <w:gridSpan w:val="7"/>
            <w:vAlign w:val="center"/>
          </w:tcPr>
          <w:p w14:paraId="4D6E0006" w14:textId="2EC3A005" w:rsidR="00AE2FEF" w:rsidRPr="00B32542" w:rsidRDefault="00AE2FEF" w:rsidP="003F2B97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val="en-GB" w:eastAsia="en-AU"/>
              </w:rPr>
            </w:pPr>
            <w:r w:rsidRPr="00B32542">
              <w:rPr>
                <w:rFonts w:ascii="Calibri" w:hAnsi="Calibri"/>
                <w:color w:val="000000"/>
                <w:lang w:val="en-GB"/>
              </w:rPr>
              <w:t xml:space="preserve">When the gamma (ɣ) angle </w:t>
            </w:r>
            <w:r w:rsidR="00B32542" w:rsidRPr="00B32542">
              <w:rPr>
                <w:rFonts w:ascii="Calibri" w:hAnsi="Calibri"/>
                <w:color w:val="000000"/>
                <w:lang w:val="en-GB"/>
              </w:rPr>
              <w:t>exceeds 60</w:t>
            </w:r>
            <w:r w:rsidRPr="00B32542">
              <w:rPr>
                <w:rFonts w:ascii="Calibri" w:hAnsi="Calibri"/>
                <w:color w:val="000000"/>
                <w:lang w:val="en-GB"/>
              </w:rPr>
              <w:t xml:space="preserve"> degrees, the light source luminance </w:t>
            </w:r>
            <w:r w:rsidR="001918B4" w:rsidRPr="00B32542">
              <w:rPr>
                <w:rFonts w:ascii="Calibri" w:hAnsi="Calibri"/>
                <w:color w:val="000000"/>
                <w:lang w:val="en-GB"/>
              </w:rPr>
              <w:t xml:space="preserve">shall be </w:t>
            </w:r>
            <w:r w:rsidRPr="00B32542">
              <w:rPr>
                <w:rFonts w:ascii="Calibri" w:hAnsi="Calibri"/>
                <w:color w:val="000000"/>
                <w:lang w:val="en-GB"/>
              </w:rPr>
              <w:t>no more than 10,000 candela/m</w:t>
            </w:r>
            <w:r w:rsidRPr="00B32542">
              <w:rPr>
                <w:rFonts w:ascii="Calibri" w:hAnsi="Calibri"/>
                <w:color w:val="000000"/>
                <w:vertAlign w:val="superscript"/>
                <w:lang w:val="en-GB"/>
              </w:rPr>
              <w:t>2</w:t>
            </w:r>
            <w:r w:rsidRPr="00B32542">
              <w:rPr>
                <w:rFonts w:ascii="Calibri" w:hAnsi="Calibri"/>
                <w:color w:val="000000"/>
                <w:lang w:val="en-GB"/>
              </w:rPr>
              <w:t xml:space="preserve"> in C</w:t>
            </w:r>
            <w:r w:rsidRPr="00B32542">
              <w:rPr>
                <w:rFonts w:ascii="Calibri" w:hAnsi="Calibri"/>
                <w:color w:val="000000"/>
                <w:vertAlign w:val="subscript"/>
                <w:lang w:val="en-GB"/>
              </w:rPr>
              <w:t>0</w:t>
            </w:r>
            <w:r w:rsidRPr="00B32542">
              <w:rPr>
                <w:rFonts w:ascii="Calibri" w:hAnsi="Calibri"/>
                <w:color w:val="000000"/>
                <w:lang w:val="en-GB"/>
              </w:rPr>
              <w:t>, C</w:t>
            </w:r>
            <w:r w:rsidRPr="00B32542">
              <w:rPr>
                <w:rFonts w:ascii="Calibri" w:hAnsi="Calibri"/>
                <w:color w:val="000000"/>
                <w:vertAlign w:val="subscript"/>
                <w:lang w:val="en-GB"/>
              </w:rPr>
              <w:t>45</w:t>
            </w:r>
            <w:r w:rsidRPr="00B32542">
              <w:rPr>
                <w:rFonts w:ascii="Calibri" w:hAnsi="Calibri"/>
                <w:color w:val="000000"/>
                <w:lang w:val="en-GB"/>
              </w:rPr>
              <w:t xml:space="preserve"> and C</w:t>
            </w:r>
            <w:r w:rsidRPr="00B32542">
              <w:rPr>
                <w:rFonts w:ascii="Calibri" w:hAnsi="Calibri"/>
                <w:color w:val="000000"/>
                <w:vertAlign w:val="subscript"/>
                <w:lang w:val="en-GB"/>
              </w:rPr>
              <w:t>90</w:t>
            </w:r>
            <w:r w:rsidRPr="00B32542">
              <w:rPr>
                <w:rFonts w:ascii="Calibri" w:hAnsi="Calibri"/>
                <w:color w:val="000000"/>
                <w:lang w:val="en-GB"/>
              </w:rPr>
              <w:t xml:space="preserve"> planes</w:t>
            </w:r>
            <w:r w:rsidR="002407DF">
              <w:rPr>
                <w:rFonts w:ascii="Calibri" w:hAnsi="Calibri"/>
                <w:color w:val="000000"/>
                <w:lang w:val="en-GB"/>
              </w:rPr>
              <w:t xml:space="preserve"> (</w:t>
            </w:r>
            <w:r w:rsidR="002407DF" w:rsidRPr="00EA1079">
              <w:rPr>
                <w:rFonts w:ascii="Calibri" w:hAnsi="Calibri"/>
                <w:color w:val="000000"/>
                <w:lang w:val="en-GB"/>
              </w:rPr>
              <w:t xml:space="preserve">also used by IEA </w:t>
            </w:r>
            <w:r w:rsidR="00664E69">
              <w:rPr>
                <w:rFonts w:ascii="Calibri" w:hAnsi="Calibri"/>
                <w:color w:val="000000"/>
                <w:lang w:val="en-GB"/>
              </w:rPr>
              <w:t xml:space="preserve">4E </w:t>
            </w:r>
            <w:r w:rsidR="002407DF" w:rsidRPr="00EA1079">
              <w:rPr>
                <w:rFonts w:ascii="Calibri" w:hAnsi="Calibri"/>
                <w:color w:val="000000"/>
                <w:lang w:val="en-GB"/>
              </w:rPr>
              <w:t>SSL Annex and the Australia &amp; New Zealand draft MEPS</w:t>
            </w:r>
            <w:r w:rsidR="002407DF">
              <w:rPr>
                <w:rFonts w:ascii="Calibri" w:hAnsi="Calibri"/>
                <w:color w:val="000000"/>
                <w:lang w:val="en-GB"/>
              </w:rPr>
              <w:t>).</w:t>
            </w:r>
          </w:p>
        </w:tc>
      </w:tr>
      <w:tr w:rsidR="00C8500A" w:rsidRPr="00B32542" w14:paraId="51E673C5" w14:textId="77777777" w:rsidTr="00E90D18">
        <w:trPr>
          <w:trHeight w:val="274"/>
        </w:trPr>
        <w:tc>
          <w:tcPr>
            <w:tcW w:w="14740" w:type="dxa"/>
            <w:gridSpan w:val="9"/>
            <w:shd w:val="clear" w:color="auto" w:fill="C6D9F1" w:themeFill="text2" w:themeFillTint="33"/>
            <w:vAlign w:val="center"/>
          </w:tcPr>
          <w:p w14:paraId="1C21A5E8" w14:textId="7ADBEF14" w:rsidR="00C8500A" w:rsidRPr="006E39D9" w:rsidRDefault="00C57B8C" w:rsidP="00C57B8C">
            <w:pPr>
              <w:spacing w:before="120" w:after="12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 w:eastAsia="en-AU"/>
              </w:rPr>
              <w:lastRenderedPageBreak/>
              <w:t>Contract and Management</w:t>
            </w:r>
          </w:p>
        </w:tc>
      </w:tr>
      <w:tr w:rsidR="00815A9A" w:rsidRPr="00B32542" w14:paraId="463CE532" w14:textId="77777777" w:rsidTr="00815A9A">
        <w:trPr>
          <w:trHeight w:val="504"/>
        </w:trPr>
        <w:tc>
          <w:tcPr>
            <w:tcW w:w="1696" w:type="dxa"/>
            <w:vMerge w:val="restart"/>
            <w:vAlign w:val="center"/>
            <w:hideMark/>
          </w:tcPr>
          <w:p w14:paraId="30A73FA8" w14:textId="3DE3316C" w:rsidR="00815A9A" w:rsidRDefault="00815A9A" w:rsidP="00815A9A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  <w:t>Competence of the design team</w:t>
            </w:r>
          </w:p>
          <w:p w14:paraId="6834BF65" w14:textId="77777777" w:rsidR="00815A9A" w:rsidRDefault="00815A9A" w:rsidP="00C8500A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  <w:t>Competence of  the installation team</w:t>
            </w:r>
          </w:p>
          <w:p w14:paraId="4D36E453" w14:textId="03F0C064" w:rsidR="00815A9A" w:rsidRDefault="00815A9A" w:rsidP="00C8500A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  <w:t>Correct installation</w:t>
            </w:r>
          </w:p>
          <w:p w14:paraId="10F43924" w14:textId="4FEBC032" w:rsidR="00815A9A" w:rsidRPr="00B32542" w:rsidRDefault="00815A9A" w:rsidP="00C8500A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</w:pPr>
          </w:p>
        </w:tc>
        <w:tc>
          <w:tcPr>
            <w:tcW w:w="13044" w:type="dxa"/>
            <w:gridSpan w:val="8"/>
            <w:noWrap/>
            <w:vAlign w:val="center"/>
            <w:hideMark/>
          </w:tcPr>
          <w:p w14:paraId="0440D520" w14:textId="34C5A0DF" w:rsidR="00815A9A" w:rsidRPr="0028459C" w:rsidRDefault="00815A9A" w:rsidP="00815A9A">
            <w:pPr>
              <w:spacing w:before="240" w:after="0" w:line="240" w:lineRule="atLeast"/>
              <w:jc w:val="center"/>
              <w:rPr>
                <w:rFonts w:eastAsia="Times New Roman" w:cstheme="minorHAnsi"/>
                <w:color w:val="000000"/>
                <w:highlight w:val="lightGray"/>
                <w:lang w:val="en-GB" w:eastAsia="en-AU"/>
              </w:rPr>
            </w:pPr>
            <w:r w:rsidRPr="0028459C">
              <w:rPr>
                <w:rFonts w:eastAsia="Times New Roman" w:cstheme="minorHAnsi"/>
                <w:lang w:val="en-GB" w:eastAsia="de-AT"/>
              </w:rPr>
              <w:t>Execution of a minimum of 5 relevant lighting projects in the last 3 years – experience from 15 relevant projects is beneficial</w:t>
            </w:r>
          </w:p>
        </w:tc>
      </w:tr>
      <w:tr w:rsidR="00815A9A" w:rsidRPr="00B32542" w14:paraId="30152E2F" w14:textId="77777777" w:rsidTr="00D20CB5">
        <w:trPr>
          <w:trHeight w:val="504"/>
        </w:trPr>
        <w:tc>
          <w:tcPr>
            <w:tcW w:w="1696" w:type="dxa"/>
            <w:vMerge/>
            <w:vAlign w:val="center"/>
          </w:tcPr>
          <w:p w14:paraId="038DAB3F" w14:textId="77777777" w:rsidR="00815A9A" w:rsidRDefault="00815A9A" w:rsidP="00815A9A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</w:pPr>
          </w:p>
        </w:tc>
        <w:tc>
          <w:tcPr>
            <w:tcW w:w="13044" w:type="dxa"/>
            <w:gridSpan w:val="8"/>
            <w:noWrap/>
            <w:vAlign w:val="center"/>
          </w:tcPr>
          <w:p w14:paraId="6CEF36C6" w14:textId="2FBF9544" w:rsidR="00815A9A" w:rsidRPr="0028459C" w:rsidRDefault="00815A9A" w:rsidP="00815A9A">
            <w:pPr>
              <w:spacing w:before="360" w:after="0" w:line="240" w:lineRule="atLeast"/>
              <w:jc w:val="center"/>
              <w:rPr>
                <w:rFonts w:eastAsia="Times New Roman" w:cstheme="minorHAnsi"/>
                <w:lang w:val="en-GB" w:eastAsia="de-AT"/>
              </w:rPr>
            </w:pPr>
            <w:r w:rsidRPr="0028459C">
              <w:rPr>
                <w:rFonts w:eastAsia="Times New Roman" w:cstheme="minorHAnsi"/>
                <w:lang w:val="en-GB" w:eastAsia="de-AT"/>
              </w:rPr>
              <w:t>Execution of a minimum of 5 relevant lighting projects in the last 3 years – experience from 15 relevant projects is beneficial</w:t>
            </w:r>
          </w:p>
        </w:tc>
      </w:tr>
      <w:tr w:rsidR="00815A9A" w:rsidRPr="00B32542" w14:paraId="53A66577" w14:textId="77777777" w:rsidTr="00815A9A">
        <w:trPr>
          <w:trHeight w:val="1219"/>
        </w:trPr>
        <w:tc>
          <w:tcPr>
            <w:tcW w:w="1696" w:type="dxa"/>
            <w:vMerge/>
            <w:vAlign w:val="center"/>
          </w:tcPr>
          <w:p w14:paraId="4876CC77" w14:textId="77777777" w:rsidR="00815A9A" w:rsidRDefault="00815A9A" w:rsidP="00D20CB5">
            <w:pPr>
              <w:spacing w:after="12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</w:pPr>
          </w:p>
        </w:tc>
        <w:tc>
          <w:tcPr>
            <w:tcW w:w="13044" w:type="dxa"/>
            <w:gridSpan w:val="8"/>
            <w:noWrap/>
            <w:vAlign w:val="center"/>
          </w:tcPr>
          <w:p w14:paraId="3A2B036A" w14:textId="49FF8BDE" w:rsidR="00F94F6E" w:rsidRDefault="00815A9A" w:rsidP="00F94F6E">
            <w:pPr>
              <w:pStyle w:val="Default"/>
              <w:spacing w:before="2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8459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contractor shall ensure: 1) </w:t>
            </w:r>
            <w:r w:rsidR="00F94F6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</w:t>
            </w:r>
            <w:r w:rsidRPr="0028459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he lighting system is installed exactly as specified</w:t>
            </w:r>
            <w:r w:rsidR="00F94F6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/required.</w:t>
            </w:r>
          </w:p>
          <w:p w14:paraId="108EDC4E" w14:textId="161EEECB" w:rsidR="00815A9A" w:rsidRPr="0028459C" w:rsidRDefault="00F94F6E" w:rsidP="00F94F6E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de-A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                                   2) D</w:t>
            </w:r>
            <w:r w:rsidR="00815A9A" w:rsidRPr="0028459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elivery of a schedule of </w:t>
            </w:r>
            <w:r w:rsidR="0028459C" w:rsidRPr="0028459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</w:t>
            </w:r>
            <w:r w:rsidR="00815A9A" w:rsidRPr="0028459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installed lighting </w:t>
            </w:r>
            <w:r w:rsidR="0028459C" w:rsidRPr="0028459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systems</w:t>
            </w:r>
            <w:r w:rsidR="00815A9A" w:rsidRPr="0028459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with appended manufacturers’ invoices or delivery notes.</w:t>
            </w:r>
          </w:p>
        </w:tc>
      </w:tr>
      <w:tr w:rsidR="00004F14" w:rsidRPr="00B32542" w14:paraId="7121BB1D" w14:textId="77777777" w:rsidTr="00815A9A">
        <w:trPr>
          <w:trHeight w:val="1219"/>
        </w:trPr>
        <w:tc>
          <w:tcPr>
            <w:tcW w:w="1696" w:type="dxa"/>
            <w:vAlign w:val="center"/>
          </w:tcPr>
          <w:p w14:paraId="2768B53B" w14:textId="36142AAB" w:rsidR="00004F14" w:rsidRDefault="00004F14" w:rsidP="00D20CB5">
            <w:pPr>
              <w:spacing w:after="12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  <w:t>Ensure the functionality</w:t>
            </w:r>
          </w:p>
        </w:tc>
        <w:tc>
          <w:tcPr>
            <w:tcW w:w="13044" w:type="dxa"/>
            <w:gridSpan w:val="8"/>
            <w:noWrap/>
            <w:vAlign w:val="center"/>
          </w:tcPr>
          <w:p w14:paraId="4D926057" w14:textId="77777777" w:rsidR="00004F14" w:rsidRPr="0028459C" w:rsidRDefault="00004F14" w:rsidP="00004F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28459C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The contractor shall ensure that new or renovated lighting systems are working properly and using no more energy than specified. </w:t>
            </w:r>
          </w:p>
          <w:p w14:paraId="66156A95" w14:textId="64D0D4E7" w:rsidR="00004F14" w:rsidRPr="0028459C" w:rsidRDefault="00004F14" w:rsidP="00004F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28459C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Daylight linked controls shall be calibrated to ensure that they switch off the lighting when daylight is adequate. </w:t>
            </w:r>
          </w:p>
          <w:p w14:paraId="5EA6D5BB" w14:textId="4E12E12D" w:rsidR="00004F14" w:rsidRPr="0028459C" w:rsidRDefault="00004F14" w:rsidP="00004F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28459C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Occupancy sensors shall be verified to detect moving objects depending on the application. </w:t>
            </w:r>
          </w:p>
          <w:p w14:paraId="41624D96" w14:textId="7EE50BD8" w:rsidR="00004F14" w:rsidRPr="0028459C" w:rsidRDefault="00004F14" w:rsidP="00004F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28459C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Time switches physical controls or time controls in software shall be set to appropriate switch off.  </w:t>
            </w:r>
          </w:p>
          <w:p w14:paraId="76FD5E90" w14:textId="0CF38C51" w:rsidR="00004F14" w:rsidRPr="0028459C" w:rsidRDefault="00004F14" w:rsidP="005434E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8459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If after the commissioning</w:t>
            </w:r>
            <w:r w:rsidR="005434ED" w:rsidRPr="0028459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</w:t>
            </w:r>
            <w:r w:rsidRPr="0028459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5434ED" w:rsidRPr="0028459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parts </w:t>
            </w:r>
            <w:r w:rsidRPr="0028459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of the </w:t>
            </w:r>
            <w:r w:rsidR="005434ED" w:rsidRPr="0028459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lighting </w:t>
            </w:r>
            <w:r w:rsidRPr="0028459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system</w:t>
            </w:r>
            <w:r w:rsidR="005434ED" w:rsidRPr="0028459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 </w:t>
            </w:r>
            <w:r w:rsidRPr="0028459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do not appear to meet all </w:t>
            </w:r>
            <w:r w:rsidR="005434ED" w:rsidRPr="0028459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specifications and </w:t>
            </w:r>
            <w:r w:rsidRPr="0028459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requirements, the contractor shall adjust </w:t>
            </w:r>
            <w:r w:rsidR="005434ED" w:rsidRPr="0028459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and/or recalibrate the systems.</w:t>
            </w:r>
          </w:p>
        </w:tc>
      </w:tr>
      <w:tr w:rsidR="005434ED" w:rsidRPr="00B32542" w14:paraId="7BF532B9" w14:textId="77777777" w:rsidTr="00580D06">
        <w:trPr>
          <w:trHeight w:val="840"/>
        </w:trPr>
        <w:tc>
          <w:tcPr>
            <w:tcW w:w="1696" w:type="dxa"/>
            <w:vAlign w:val="center"/>
          </w:tcPr>
          <w:p w14:paraId="02B10E6B" w14:textId="08A7DA6C" w:rsidR="005434ED" w:rsidRDefault="005434ED" w:rsidP="005434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  <w:t>Evaluation</w:t>
            </w:r>
          </w:p>
        </w:tc>
        <w:tc>
          <w:tcPr>
            <w:tcW w:w="13044" w:type="dxa"/>
            <w:gridSpan w:val="8"/>
            <w:noWrap/>
            <w:vAlign w:val="center"/>
          </w:tcPr>
          <w:p w14:paraId="5D82BF63" w14:textId="44CD32E8" w:rsidR="005434ED" w:rsidRPr="0028459C" w:rsidRDefault="005434ED" w:rsidP="005434ED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28459C">
              <w:rPr>
                <w:rFonts w:cstheme="minorHAnsi"/>
                <w:lang w:val="en-GB"/>
              </w:rPr>
              <w:t>The contract shall preferably include installation of a m</w:t>
            </w:r>
            <w:r w:rsidRPr="0028459C">
              <w:rPr>
                <w:rFonts w:eastAsia="Times New Roman" w:cstheme="minorHAnsi"/>
                <w:lang w:val="en-GB" w:eastAsia="de-AT"/>
              </w:rPr>
              <w:t>etering and measurement system for identification of failures and monitoring of the energy consumption is as specified.</w:t>
            </w:r>
          </w:p>
        </w:tc>
      </w:tr>
      <w:tr w:rsidR="005434ED" w:rsidRPr="00B32542" w14:paraId="69B2D71E" w14:textId="77777777" w:rsidTr="00815A9A">
        <w:trPr>
          <w:trHeight w:val="1219"/>
        </w:trPr>
        <w:tc>
          <w:tcPr>
            <w:tcW w:w="1696" w:type="dxa"/>
            <w:vAlign w:val="center"/>
          </w:tcPr>
          <w:p w14:paraId="5FDB0A75" w14:textId="30B4BB6C" w:rsidR="00E62AAC" w:rsidRDefault="005434ED" w:rsidP="006C7A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  <w:t>Waste management</w:t>
            </w:r>
          </w:p>
        </w:tc>
        <w:tc>
          <w:tcPr>
            <w:tcW w:w="13044" w:type="dxa"/>
            <w:gridSpan w:val="8"/>
            <w:noWrap/>
            <w:vAlign w:val="center"/>
          </w:tcPr>
          <w:p w14:paraId="712D1606" w14:textId="298DC5BC" w:rsidR="00E62AAC" w:rsidRPr="0028459C" w:rsidRDefault="005434ED" w:rsidP="006C7A0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28459C">
              <w:rPr>
                <w:rFonts w:asciiTheme="minorHAnsi" w:eastAsia="Times New Roman" w:hAnsiTheme="minorHAnsi" w:cstheme="minorHAnsi"/>
                <w:sz w:val="22"/>
                <w:szCs w:val="22"/>
                <w:lang w:val="en-GB" w:eastAsia="de-AT"/>
              </w:rPr>
              <w:t xml:space="preserve">During the installation of new or renovated lighting systems, waste is to be reduced and all parts are to be separated and recovered in accordance with the WEEE. </w:t>
            </w:r>
          </w:p>
        </w:tc>
      </w:tr>
    </w:tbl>
    <w:p w14:paraId="1FA5E64D" w14:textId="77777777" w:rsidR="00C8500A" w:rsidRPr="00B32542" w:rsidRDefault="00C8500A" w:rsidP="00040848">
      <w:pPr>
        <w:spacing w:line="240" w:lineRule="auto"/>
        <w:rPr>
          <w:rFonts w:ascii="Times New Roman" w:hAnsi="Times New Roman"/>
          <w:lang w:val="en-GB"/>
        </w:rPr>
      </w:pPr>
    </w:p>
    <w:sectPr w:rsidR="00C8500A" w:rsidRPr="00B32542" w:rsidSect="00526D59">
      <w:headerReference w:type="default" r:id="rId28"/>
      <w:footerReference w:type="default" r:id="rId29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14B93" w14:textId="77777777" w:rsidR="00D30229" w:rsidRDefault="00D30229" w:rsidP="00BF1EE2">
      <w:pPr>
        <w:spacing w:after="0" w:line="240" w:lineRule="auto"/>
      </w:pPr>
      <w:r>
        <w:separator/>
      </w:r>
    </w:p>
  </w:endnote>
  <w:endnote w:type="continuationSeparator" w:id="0">
    <w:p w14:paraId="3FF56848" w14:textId="77777777" w:rsidR="00D30229" w:rsidRDefault="00D30229" w:rsidP="00BF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245668"/>
      <w:docPartObj>
        <w:docPartGallery w:val="Page Numbers (Bottom of Page)"/>
        <w:docPartUnique/>
      </w:docPartObj>
    </w:sdtPr>
    <w:sdtEndPr/>
    <w:sdtContent>
      <w:p w14:paraId="1E968179" w14:textId="6BC6E1EE" w:rsidR="00292241" w:rsidRDefault="002922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474" w:rsidRPr="00737474">
          <w:rPr>
            <w:noProof/>
            <w:lang w:val="da-DK"/>
          </w:rPr>
          <w:t>3</w:t>
        </w:r>
        <w:r>
          <w:fldChar w:fldCharType="end"/>
        </w:r>
      </w:p>
    </w:sdtContent>
  </w:sdt>
  <w:p w14:paraId="51878004" w14:textId="77777777" w:rsidR="0017400F" w:rsidRDefault="00174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879D1" w14:textId="77777777" w:rsidR="00D30229" w:rsidRDefault="00D30229" w:rsidP="00BF1EE2">
      <w:pPr>
        <w:spacing w:after="0" w:line="240" w:lineRule="auto"/>
      </w:pPr>
      <w:r>
        <w:separator/>
      </w:r>
    </w:p>
  </w:footnote>
  <w:footnote w:type="continuationSeparator" w:id="0">
    <w:p w14:paraId="5A9758DB" w14:textId="77777777" w:rsidR="00D30229" w:rsidRDefault="00D30229" w:rsidP="00BF1EE2">
      <w:pPr>
        <w:spacing w:after="0" w:line="240" w:lineRule="auto"/>
      </w:pPr>
      <w:r>
        <w:continuationSeparator/>
      </w:r>
    </w:p>
  </w:footnote>
  <w:footnote w:id="1">
    <w:p w14:paraId="3E451E00" w14:textId="77777777" w:rsidR="00B52D1B" w:rsidRPr="00EA1079" w:rsidRDefault="00B52D1B" w:rsidP="00B52D1B">
      <w:pPr>
        <w:spacing w:after="60"/>
        <w:rPr>
          <w:rFonts w:ascii="Times New Roman" w:hAnsi="Times New Roman" w:cs="Times New Roman"/>
          <w:sz w:val="20"/>
          <w:szCs w:val="20"/>
          <w:lang w:val="en-GB"/>
        </w:rPr>
      </w:pPr>
      <w:r w:rsidRPr="00EA1079">
        <w:rPr>
          <w:rStyle w:val="Odwoanieprzypisudolnego"/>
          <w:lang w:val="en-GB"/>
        </w:rPr>
        <w:footnoteRef/>
      </w:r>
      <w:r w:rsidRPr="00EA1079">
        <w:rPr>
          <w:lang w:val="en-GB"/>
        </w:rPr>
        <w:t xml:space="preserve"> </w:t>
      </w:r>
      <w:r w:rsidRPr="00EA1079">
        <w:rPr>
          <w:rFonts w:ascii="Times New Roman" w:hAnsi="Times New Roman" w:cs="Times New Roman"/>
          <w:sz w:val="20"/>
          <w:szCs w:val="20"/>
          <w:lang w:val="en-GB"/>
        </w:rPr>
        <w:t>Technically specified by the chromaticity coordinates (x and y) range: 0,2 &lt; x &lt; 0,6 and –2,3172 x² + 2,3653 x – 0,28 &lt; y &lt; – 2,3172 x² + 2,3653 x– 0,1.</w:t>
      </w:r>
    </w:p>
  </w:footnote>
  <w:footnote w:id="2">
    <w:p w14:paraId="76358E9E" w14:textId="0630EC44" w:rsidR="00BD3049" w:rsidRPr="00BD3049" w:rsidRDefault="00BD30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3B43D4">
          <w:rPr>
            <w:rStyle w:val="Hipercze"/>
          </w:rPr>
          <w:t>http://ec.europa.eu/environment/gpp/pdf/criteria/indoor_lighting.pdf</w:t>
        </w:r>
      </w:hyperlink>
      <w:r>
        <w:t xml:space="preserve">  </w:t>
      </w:r>
      <w:proofErr w:type="spellStart"/>
      <w:r>
        <w:t>is</w:t>
      </w:r>
      <w:proofErr w:type="spellEnd"/>
      <w:r>
        <w:t xml:space="preserve"> </w:t>
      </w:r>
      <w:proofErr w:type="spellStart"/>
      <w:r w:rsidR="00596DA4">
        <w:t>from</w:t>
      </w:r>
      <w:proofErr w:type="spellEnd"/>
      <w:r w:rsidR="00596DA4">
        <w:t xml:space="preserve"> </w:t>
      </w:r>
      <w:r>
        <w:t>2012</w:t>
      </w:r>
      <w:r w:rsidR="00BA5232">
        <w:t xml:space="preserve">. </w:t>
      </w:r>
      <w:proofErr w:type="spellStart"/>
      <w:r w:rsidR="00BA5232">
        <w:t>It</w:t>
      </w:r>
      <w:proofErr w:type="spellEnd"/>
      <w:r w:rsidR="00BA5232">
        <w:t xml:space="preserve"> </w:t>
      </w:r>
      <w:proofErr w:type="spellStart"/>
      <w:r w:rsidR="00BA5232">
        <w:t>is</w:t>
      </w:r>
      <w:proofErr w:type="spellEnd"/>
      <w:r w:rsidR="00BA5232">
        <w:t xml:space="preserve"> </w:t>
      </w:r>
      <w:proofErr w:type="spellStart"/>
      <w:r w:rsidR="00596DA4">
        <w:t>considered</w:t>
      </w:r>
      <w:proofErr w:type="spellEnd"/>
      <w:r w:rsidR="00596DA4">
        <w:t xml:space="preserve"> </w:t>
      </w:r>
      <w:proofErr w:type="spellStart"/>
      <w:r w:rsidR="00BA5232">
        <w:t>to</w:t>
      </w:r>
      <w:proofErr w:type="spellEnd"/>
      <w:r w:rsidR="00BA5232"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due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 w:rsidR="00596DA4">
        <w:t>then</w:t>
      </w:r>
      <w:proofErr w:type="spellEnd"/>
      <w:r w:rsidR="00596DA4">
        <w:t xml:space="preserve"> </w:t>
      </w:r>
      <w:r>
        <w:t xml:space="preserve">in LED </w:t>
      </w:r>
      <w:proofErr w:type="spellStart"/>
      <w:r>
        <w:t>efficacy</w:t>
      </w:r>
      <w:proofErr w:type="spellEnd"/>
      <w:r>
        <w:t xml:space="preserve">. </w:t>
      </w:r>
    </w:p>
  </w:footnote>
  <w:footnote w:id="3">
    <w:p w14:paraId="53764F60" w14:textId="60FDC69B" w:rsidR="006A5A7C" w:rsidRPr="00EA1079" w:rsidRDefault="006A5A7C" w:rsidP="00CF4CC7">
      <w:pPr>
        <w:spacing w:after="0" w:line="240" w:lineRule="auto"/>
        <w:rPr>
          <w:sz w:val="20"/>
          <w:szCs w:val="20"/>
          <w:lang w:val="en-GB"/>
        </w:rPr>
      </w:pPr>
      <w:r w:rsidRPr="00EA1079">
        <w:rPr>
          <w:rStyle w:val="Odwoanieprzypisudolnego"/>
          <w:lang w:val="en-GB"/>
        </w:rPr>
        <w:footnoteRef/>
      </w:r>
      <w:r w:rsidRPr="00EA1079">
        <w:rPr>
          <w:lang w:val="en-GB"/>
        </w:rPr>
        <w:t xml:space="preserve"> </w:t>
      </w:r>
      <w:r w:rsidR="00B87D9E" w:rsidRPr="00EA1079">
        <w:rPr>
          <w:sz w:val="20"/>
          <w:szCs w:val="20"/>
          <w:lang w:val="en-GB"/>
        </w:rPr>
        <w:t xml:space="preserve">The efficacy values are equal or very close to IEA </w:t>
      </w:r>
      <w:r w:rsidR="00664E69">
        <w:rPr>
          <w:sz w:val="20"/>
          <w:szCs w:val="20"/>
          <w:lang w:val="en-GB"/>
        </w:rPr>
        <w:t xml:space="preserve">4E SSL tier 2 which are published 2016 as recommended requirements at the world scene based on the performance for the 20-30% best products at </w:t>
      </w:r>
      <w:proofErr w:type="spellStart"/>
      <w:r w:rsidR="00664E69">
        <w:rPr>
          <w:sz w:val="20"/>
          <w:szCs w:val="20"/>
          <w:lang w:val="en-GB"/>
        </w:rPr>
        <w:t>he</w:t>
      </w:r>
      <w:proofErr w:type="spellEnd"/>
      <w:r w:rsidR="00664E69">
        <w:rPr>
          <w:sz w:val="20"/>
          <w:szCs w:val="20"/>
          <w:lang w:val="en-GB"/>
        </w:rPr>
        <w:t xml:space="preserve"> market. </w:t>
      </w:r>
    </w:p>
  </w:footnote>
  <w:footnote w:id="4">
    <w:p w14:paraId="69726797" w14:textId="38E814A7" w:rsidR="0084217C" w:rsidRPr="00AD7453" w:rsidRDefault="0084217C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en-AU"/>
        </w:rPr>
        <w:t>Dimensions</w:t>
      </w:r>
      <w:proofErr w:type="spellEnd"/>
      <w:r>
        <w:rPr>
          <w:rFonts w:ascii="Calibri" w:eastAsia="Times New Roman" w:hAnsi="Calibri" w:cs="Times New Roman"/>
          <w:color w:val="000000"/>
          <w:lang w:eastAsia="en-AU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en-AU"/>
        </w:rPr>
        <w:t>of</w:t>
      </w:r>
      <w:proofErr w:type="spellEnd"/>
      <w:r>
        <w:rPr>
          <w:rFonts w:ascii="Calibri" w:eastAsia="Times New Roman" w:hAnsi="Calibri" w:cs="Times New Roman"/>
          <w:color w:val="000000"/>
          <w:lang w:eastAsia="en-AU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en-AU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lang w:eastAsia="en-AU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en-AU"/>
        </w:rPr>
        <w:t>lamp</w:t>
      </w:r>
      <w:proofErr w:type="spellEnd"/>
      <w:r>
        <w:rPr>
          <w:rFonts w:ascii="Calibri" w:eastAsia="Times New Roman" w:hAnsi="Calibri" w:cs="Times New Roman"/>
          <w:color w:val="000000"/>
          <w:lang w:eastAsia="en-AU"/>
        </w:rPr>
        <w:t xml:space="preserve"> must </w:t>
      </w:r>
      <w:proofErr w:type="spellStart"/>
      <w:r>
        <w:rPr>
          <w:rFonts w:ascii="Calibri" w:eastAsia="Times New Roman" w:hAnsi="Calibri" w:cs="Times New Roman"/>
          <w:color w:val="000000"/>
          <w:lang w:eastAsia="en-AU"/>
        </w:rPr>
        <w:t>comply</w:t>
      </w:r>
      <w:proofErr w:type="spellEnd"/>
      <w:r>
        <w:rPr>
          <w:rFonts w:ascii="Calibri" w:eastAsia="Times New Roman" w:hAnsi="Calibri" w:cs="Times New Roman"/>
          <w:color w:val="000000"/>
          <w:lang w:eastAsia="en-AU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en-AU"/>
        </w:rPr>
        <w:t>with</w:t>
      </w:r>
      <w:proofErr w:type="spellEnd"/>
      <w:r>
        <w:rPr>
          <w:rFonts w:ascii="Calibri" w:eastAsia="Times New Roman" w:hAnsi="Calibri" w:cs="Times New Roman"/>
          <w:color w:val="000000"/>
          <w:lang w:eastAsia="en-AU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en-AU"/>
        </w:rPr>
        <w:t>equivalent</w:t>
      </w:r>
      <w:proofErr w:type="spellEnd"/>
      <w:r>
        <w:rPr>
          <w:rFonts w:ascii="Calibri" w:eastAsia="Times New Roman" w:hAnsi="Calibri" w:cs="Times New Roman"/>
          <w:color w:val="000000"/>
          <w:lang w:eastAsia="en-AU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en-AU"/>
        </w:rPr>
        <w:t>lamp’s</w:t>
      </w:r>
      <w:proofErr w:type="spellEnd"/>
      <w:r>
        <w:rPr>
          <w:rFonts w:ascii="Calibri" w:eastAsia="Times New Roman" w:hAnsi="Calibri" w:cs="Times New Roman"/>
          <w:color w:val="000000"/>
          <w:lang w:eastAsia="en-AU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en-AU"/>
        </w:rPr>
        <w:t>requirements</w:t>
      </w:r>
      <w:proofErr w:type="spellEnd"/>
      <w:r>
        <w:rPr>
          <w:rFonts w:ascii="Calibri" w:eastAsia="Times New Roman" w:hAnsi="Calibri" w:cs="Times New Roman"/>
          <w:color w:val="000000"/>
          <w:lang w:eastAsia="en-AU"/>
        </w:rPr>
        <w:t xml:space="preserve"> in </w:t>
      </w:r>
      <w:proofErr w:type="spellStart"/>
      <w:r>
        <w:rPr>
          <w:rFonts w:ascii="Calibri" w:eastAsia="Times New Roman" w:hAnsi="Calibri" w:cs="Times New Roman"/>
          <w:color w:val="000000"/>
          <w:lang w:eastAsia="en-AU"/>
        </w:rPr>
        <w:t>the</w:t>
      </w:r>
      <w:proofErr w:type="spellEnd"/>
      <w:r>
        <w:rPr>
          <w:rFonts w:ascii="Calibri" w:eastAsia="Times New Roman" w:hAnsi="Calibri" w:cs="Times New Roman"/>
          <w:color w:val="000000"/>
          <w:lang w:eastAsia="en-AU"/>
        </w:rPr>
        <w:t xml:space="preserve"> relevant IEC </w:t>
      </w:r>
      <w:proofErr w:type="spellStart"/>
      <w:r>
        <w:rPr>
          <w:rFonts w:ascii="Calibri" w:eastAsia="Times New Roman" w:hAnsi="Calibri" w:cs="Times New Roman"/>
          <w:color w:val="000000"/>
          <w:lang w:eastAsia="en-AU"/>
        </w:rPr>
        <w:t>lamp</w:t>
      </w:r>
      <w:proofErr w:type="spellEnd"/>
      <w:r>
        <w:rPr>
          <w:rFonts w:ascii="Calibri" w:eastAsia="Times New Roman" w:hAnsi="Calibri" w:cs="Times New Roman"/>
          <w:color w:val="000000"/>
          <w:lang w:eastAsia="en-AU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en-AU"/>
        </w:rPr>
        <w:t>performance</w:t>
      </w:r>
      <w:proofErr w:type="spellEnd"/>
      <w:r>
        <w:rPr>
          <w:rFonts w:ascii="Calibri" w:eastAsia="Times New Roman" w:hAnsi="Calibri" w:cs="Times New Roman"/>
          <w:color w:val="000000"/>
          <w:lang w:eastAsia="en-AU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en-AU"/>
        </w:rPr>
        <w:t>specification</w:t>
      </w:r>
      <w:proofErr w:type="spellEnd"/>
      <w:r>
        <w:rPr>
          <w:rFonts w:ascii="Calibri" w:eastAsia="Times New Roman" w:hAnsi="Calibri" w:cs="Times New Roman"/>
          <w:color w:val="000000"/>
          <w:lang w:eastAsia="en-AU"/>
        </w:rPr>
        <w:t xml:space="preserve"> Standard</w:t>
      </w:r>
    </w:p>
  </w:footnote>
  <w:footnote w:id="5">
    <w:p w14:paraId="24758E9F" w14:textId="21DEAE1E" w:rsidR="00CF4CC7" w:rsidRPr="00EA1079" w:rsidRDefault="00CF4CC7">
      <w:pPr>
        <w:pStyle w:val="Tekstprzypisudolnego"/>
        <w:rPr>
          <w:lang w:val="en-GB"/>
        </w:rPr>
      </w:pPr>
      <w:r w:rsidRPr="00EA1079">
        <w:rPr>
          <w:rStyle w:val="Odwoanieprzypisudolnego"/>
          <w:lang w:val="en-GB"/>
        </w:rPr>
        <w:footnoteRef/>
      </w:r>
      <w:r w:rsidR="00164C96">
        <w:rPr>
          <w:lang w:val="en-GB"/>
        </w:rPr>
        <w:t xml:space="preserve"> The table is developed by the</w:t>
      </w:r>
      <w:r w:rsidR="00164C96" w:rsidRPr="00EA1079">
        <w:rPr>
          <w:lang w:val="en-GB"/>
        </w:rPr>
        <w:t xml:space="preserve"> IEA </w:t>
      </w:r>
      <w:r w:rsidR="00664E69">
        <w:rPr>
          <w:lang w:val="en-GB"/>
        </w:rPr>
        <w:t xml:space="preserve">4E </w:t>
      </w:r>
      <w:r w:rsidR="00164C96" w:rsidRPr="00EA1079">
        <w:rPr>
          <w:lang w:val="en-GB"/>
        </w:rPr>
        <w:t>SSL Annex</w:t>
      </w:r>
      <w:r w:rsidR="00164C96">
        <w:rPr>
          <w:lang w:val="en-GB"/>
        </w:rPr>
        <w:t xml:space="preserve"> relating to GLS lamps. Compliance measurements show</w:t>
      </w:r>
      <w:r w:rsidR="00164C96" w:rsidRPr="00EA1079">
        <w:rPr>
          <w:lang w:val="en-GB"/>
        </w:rPr>
        <w:t xml:space="preserve"> that non-directional halogen lamps are typically 15 % more efficient than GLS</w:t>
      </w:r>
      <w:r w:rsidR="00164C96">
        <w:rPr>
          <w:lang w:val="en-GB"/>
        </w:rPr>
        <w:t xml:space="preserve"> lamps</w:t>
      </w:r>
      <w:r w:rsidR="0021081D">
        <w:rPr>
          <w:lang w:val="en-GB"/>
        </w:rPr>
        <w:t xml:space="preserve"> but the </w:t>
      </w:r>
      <w:r w:rsidR="00164C96">
        <w:rPr>
          <w:lang w:val="en-GB"/>
        </w:rPr>
        <w:t xml:space="preserve">wattage values </w:t>
      </w:r>
      <w:r w:rsidR="0021081D">
        <w:rPr>
          <w:lang w:val="en-GB"/>
        </w:rPr>
        <w:t xml:space="preserve">are not lowered </w:t>
      </w:r>
      <w:r w:rsidR="00164C96" w:rsidRPr="00EA1079">
        <w:rPr>
          <w:lang w:val="en-GB"/>
        </w:rPr>
        <w:t>because the change is small</w:t>
      </w:r>
      <w:r w:rsidR="00164C96">
        <w:rPr>
          <w:lang w:val="en-GB"/>
        </w:rPr>
        <w:t xml:space="preserve">, the </w:t>
      </w:r>
      <w:r w:rsidR="0021081D">
        <w:rPr>
          <w:lang w:val="en-GB"/>
        </w:rPr>
        <w:t xml:space="preserve">table related to </w:t>
      </w:r>
      <w:r w:rsidR="00164C96">
        <w:rPr>
          <w:lang w:val="en-GB"/>
        </w:rPr>
        <w:t xml:space="preserve">the </w:t>
      </w:r>
      <w:r w:rsidR="00164C96" w:rsidRPr="00EA1079">
        <w:rPr>
          <w:lang w:val="en-GB"/>
        </w:rPr>
        <w:t>directional lamps</w:t>
      </w:r>
      <w:r w:rsidR="00164C96">
        <w:rPr>
          <w:lang w:val="en-GB"/>
        </w:rPr>
        <w:t xml:space="preserve"> percentages, and this is </w:t>
      </w:r>
      <w:r w:rsidR="00164C96" w:rsidRPr="00EA1079">
        <w:rPr>
          <w:lang w:val="en-GB"/>
        </w:rPr>
        <w:t xml:space="preserve">guidance </w:t>
      </w:r>
      <w:r w:rsidR="0021081D">
        <w:rPr>
          <w:lang w:val="en-GB"/>
        </w:rPr>
        <w:t xml:space="preserve">by </w:t>
      </w:r>
      <w:r w:rsidR="00164C96">
        <w:rPr>
          <w:lang w:val="en-GB"/>
        </w:rPr>
        <w:t>rounded values.</w:t>
      </w:r>
    </w:p>
  </w:footnote>
  <w:footnote w:id="6">
    <w:p w14:paraId="6AC31426" w14:textId="317E9CE1" w:rsidR="00164C96" w:rsidRPr="00AD7453" w:rsidRDefault="00164C96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>
        <w:t xml:space="preserve"> This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origins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Pr="00EA1079">
        <w:rPr>
          <w:lang w:val="en-GB"/>
        </w:rPr>
        <w:t>Australia &amp; New Zealand draft MEPS recommendations</w:t>
      </w:r>
      <w:r>
        <w:rPr>
          <w:lang w:val="en-GB"/>
        </w:rPr>
        <w:t xml:space="preserve">. </w:t>
      </w:r>
    </w:p>
  </w:footnote>
  <w:footnote w:id="7">
    <w:p w14:paraId="51233547" w14:textId="08EFC8EA" w:rsidR="00621CBF" w:rsidRPr="00AD7453" w:rsidRDefault="00621CBF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en-GB"/>
        </w:rPr>
        <w:t>The table for LED tubes is for directional b</w:t>
      </w:r>
      <w:r w:rsidRPr="00EA1079">
        <w:rPr>
          <w:lang w:val="en-GB"/>
        </w:rPr>
        <w:t xml:space="preserve">ased </w:t>
      </w:r>
      <w:r w:rsidRPr="00EA1079">
        <w:rPr>
          <w:rFonts w:ascii="Calibri" w:hAnsi="Calibri"/>
          <w:color w:val="000000"/>
          <w:lang w:val="en-GB"/>
        </w:rPr>
        <w:t xml:space="preserve">on Design Lights Consortium requirements </w:t>
      </w:r>
      <w:r>
        <w:rPr>
          <w:rFonts w:ascii="Calibri" w:hAnsi="Calibri"/>
          <w:color w:val="000000"/>
          <w:lang w:val="en-GB"/>
        </w:rPr>
        <w:t>(also used by IEA SSL) and for retrofit based on major manufacturers catalogues.</w:t>
      </w:r>
    </w:p>
  </w:footnote>
  <w:footnote w:id="8">
    <w:p w14:paraId="730B6235" w14:textId="706044BA" w:rsidR="00B56863" w:rsidRPr="00EA1079" w:rsidRDefault="00B56863">
      <w:pPr>
        <w:pStyle w:val="Tekstprzypisudolnego"/>
        <w:rPr>
          <w:lang w:val="en-GB"/>
        </w:rPr>
      </w:pPr>
      <w:r w:rsidRPr="00EA1079">
        <w:rPr>
          <w:rStyle w:val="Odwoanieprzypisudolnego"/>
          <w:lang w:val="en-GB"/>
        </w:rPr>
        <w:footnoteRef/>
      </w:r>
      <w:r w:rsidRPr="00EA1079">
        <w:rPr>
          <w:lang w:val="en-GB"/>
        </w:rPr>
        <w:t xml:space="preserve"> For </w:t>
      </w:r>
      <w:r w:rsidR="00704ED4" w:rsidRPr="00EA1079">
        <w:rPr>
          <w:lang w:val="en-GB"/>
        </w:rPr>
        <w:t xml:space="preserve">smart </w:t>
      </w:r>
      <w:r w:rsidRPr="00EA1079">
        <w:rPr>
          <w:lang w:val="en-GB"/>
        </w:rPr>
        <w:t>lamps with standby mode</w:t>
      </w:r>
      <w:r w:rsidR="00805B47">
        <w:rPr>
          <w:lang w:val="en-GB"/>
        </w:rPr>
        <w:t xml:space="preserve"> but not connectivity features</w:t>
      </w:r>
      <w:r w:rsidR="004550D8" w:rsidRPr="00EA1079">
        <w:rPr>
          <w:lang w:val="en-GB"/>
        </w:rPr>
        <w:t>.</w:t>
      </w:r>
      <w:r w:rsidR="00D025FC" w:rsidRPr="00EA1079">
        <w:rPr>
          <w:lang w:val="en-GB"/>
        </w:rPr>
        <w:t xml:space="preserve"> The requirements are e</w:t>
      </w:r>
      <w:r w:rsidR="00704ED4" w:rsidRPr="00EA1079">
        <w:rPr>
          <w:lang w:val="en-GB"/>
        </w:rPr>
        <w:t>q</w:t>
      </w:r>
      <w:r w:rsidR="00D025FC" w:rsidRPr="00EA1079">
        <w:rPr>
          <w:lang w:val="en-GB"/>
        </w:rPr>
        <w:t>ual to IEA SSL</w:t>
      </w:r>
      <w:r w:rsidR="00704ED4" w:rsidRPr="00EA1079">
        <w:rPr>
          <w:lang w:val="en-GB"/>
        </w:rPr>
        <w:t xml:space="preserve"> and Australian &amp; New Zealand MEPS</w:t>
      </w:r>
      <w:r w:rsidR="003337CD" w:rsidRPr="00EA1079">
        <w:rPr>
          <w:lang w:val="en-GB"/>
        </w:rPr>
        <w:t xml:space="preserve">. </w:t>
      </w:r>
      <w:r w:rsidR="00D025FC" w:rsidRPr="00EA1079">
        <w:rPr>
          <w:lang w:val="en-GB"/>
        </w:rPr>
        <w:t>Energy Star require</w:t>
      </w:r>
      <w:r w:rsidR="003337CD" w:rsidRPr="00EA1079">
        <w:rPr>
          <w:lang w:val="en-GB"/>
        </w:rPr>
        <w:t>s</w:t>
      </w:r>
      <w:r w:rsidR="00704ED4" w:rsidRPr="00EA1079">
        <w:rPr>
          <w:lang w:val="en-GB"/>
        </w:rPr>
        <w:t xml:space="preserve"> </w:t>
      </w:r>
      <w:r w:rsidR="00D025FC" w:rsidRPr="00EA1079">
        <w:rPr>
          <w:lang w:val="en-GB"/>
        </w:rPr>
        <w:t xml:space="preserve">&lt;0.5W. </w:t>
      </w:r>
    </w:p>
  </w:footnote>
  <w:footnote w:id="9">
    <w:p w14:paraId="3322830C" w14:textId="37D30FBC" w:rsidR="00BE3171" w:rsidRPr="00EA1079" w:rsidRDefault="00BE3171">
      <w:pPr>
        <w:pStyle w:val="Tekstprzypisudolnego"/>
        <w:rPr>
          <w:lang w:val="en-GB"/>
        </w:rPr>
      </w:pPr>
      <w:r w:rsidRPr="00EA1079">
        <w:rPr>
          <w:rStyle w:val="Odwoanieprzypisudolnego"/>
          <w:lang w:val="en-GB"/>
        </w:rPr>
        <w:footnoteRef/>
      </w:r>
      <w:r w:rsidRPr="00EA1079">
        <w:rPr>
          <w:lang w:val="en-GB"/>
        </w:rPr>
        <w:t xml:space="preserve"> </w:t>
      </w:r>
      <w:r w:rsidRPr="00EA1079">
        <w:rPr>
          <w:rFonts w:ascii="Calibri" w:eastAsia="Times New Roman" w:hAnsi="Calibri" w:cs="Times New Roman"/>
          <w:color w:val="000000"/>
          <w:lang w:val="en-GB" w:eastAsia="en-AU"/>
        </w:rPr>
        <w:t>R</w:t>
      </w:r>
      <w:r w:rsidRPr="00EA1079">
        <w:rPr>
          <w:rFonts w:ascii="Calibri" w:eastAsia="Times New Roman" w:hAnsi="Calibri" w:cs="Times New Roman"/>
          <w:color w:val="000000"/>
          <w:vertAlign w:val="subscript"/>
          <w:lang w:val="en-GB" w:eastAsia="en-AU"/>
        </w:rPr>
        <w:t>9</w:t>
      </w:r>
      <w:r w:rsidRPr="00EA1079">
        <w:rPr>
          <w:rFonts w:ascii="Calibri" w:eastAsia="Times New Roman" w:hAnsi="Calibri" w:cs="Times New Roman"/>
          <w:color w:val="000000"/>
          <w:lang w:val="en-GB" w:eastAsia="en-AU"/>
        </w:rPr>
        <w:t xml:space="preserve"> is a measurement of the Red satur</w:t>
      </w:r>
      <w:r w:rsidR="00BB4883" w:rsidRPr="00EA1079">
        <w:rPr>
          <w:rFonts w:ascii="Calibri" w:eastAsia="Times New Roman" w:hAnsi="Calibri" w:cs="Times New Roman"/>
          <w:color w:val="000000"/>
          <w:lang w:val="en-GB" w:eastAsia="en-AU"/>
        </w:rPr>
        <w:t>at</w:t>
      </w:r>
      <w:r w:rsidRPr="00EA1079">
        <w:rPr>
          <w:rFonts w:ascii="Calibri" w:eastAsia="Times New Roman" w:hAnsi="Calibri" w:cs="Times New Roman"/>
          <w:color w:val="000000"/>
          <w:lang w:val="en-GB" w:eastAsia="en-AU"/>
        </w:rPr>
        <w:t>ed test colour</w:t>
      </w:r>
      <w:r w:rsidR="00704ED4" w:rsidRPr="00EA1079">
        <w:rPr>
          <w:rFonts w:ascii="Calibri" w:eastAsia="Times New Roman" w:hAnsi="Calibri" w:cs="Times New Roman"/>
          <w:color w:val="000000"/>
          <w:lang w:val="en-GB" w:eastAsia="en-AU"/>
        </w:rPr>
        <w:t xml:space="preserve"> </w:t>
      </w:r>
      <w:r w:rsidR="00B32542" w:rsidRPr="00EA1079">
        <w:rPr>
          <w:rFonts w:ascii="Calibri" w:eastAsia="Times New Roman" w:hAnsi="Calibri" w:cs="Times New Roman"/>
          <w:color w:val="000000"/>
          <w:lang w:val="en-GB" w:eastAsia="en-AU"/>
        </w:rPr>
        <w:t xml:space="preserve">and </w:t>
      </w:r>
      <w:r w:rsidR="00B32542" w:rsidRPr="00EA1079">
        <w:rPr>
          <w:lang w:val="en-GB"/>
        </w:rPr>
        <w:t>ability</w:t>
      </w:r>
      <w:r w:rsidRPr="00EA1079">
        <w:rPr>
          <w:lang w:val="en-GB"/>
        </w:rPr>
        <w:t xml:space="preserve"> to accurately reproduce Red is </w:t>
      </w:r>
      <w:r w:rsidR="00BB4883" w:rsidRPr="00EA1079">
        <w:rPr>
          <w:lang w:val="en-GB"/>
        </w:rPr>
        <w:t xml:space="preserve">a </w:t>
      </w:r>
      <w:r w:rsidRPr="00EA1079">
        <w:rPr>
          <w:lang w:val="en-GB"/>
        </w:rPr>
        <w:t xml:space="preserve">key for accurately rendering </w:t>
      </w:r>
      <w:r w:rsidR="00B32542" w:rsidRPr="00EA1079">
        <w:rPr>
          <w:lang w:val="en-GB"/>
        </w:rPr>
        <w:t>colours</w:t>
      </w:r>
      <w:r w:rsidRPr="00EA1079">
        <w:rPr>
          <w:lang w:val="en-GB"/>
        </w:rPr>
        <w:t xml:space="preserve"> of displayed objects. </w:t>
      </w:r>
      <w:r w:rsidRPr="00EA1079">
        <w:rPr>
          <w:rFonts w:ascii="Calibri" w:eastAsia="Times New Roman" w:hAnsi="Calibri" w:cs="Times New Roman"/>
          <w:color w:val="000000"/>
          <w:lang w:val="en-GB" w:eastAsia="en-AU"/>
        </w:rPr>
        <w:t xml:space="preserve">  </w:t>
      </w:r>
    </w:p>
  </w:footnote>
  <w:footnote w:id="10">
    <w:p w14:paraId="0D801712" w14:textId="5FA175E2" w:rsidR="00B56863" w:rsidRPr="00EA1079" w:rsidRDefault="00B56863" w:rsidP="0017400F">
      <w:pPr>
        <w:pStyle w:val="Tekstprzypisudolnego"/>
        <w:rPr>
          <w:lang w:val="en-GB"/>
        </w:rPr>
      </w:pPr>
      <w:r w:rsidRPr="00EA1079">
        <w:rPr>
          <w:rStyle w:val="Odwoanieprzypisudolnego"/>
          <w:lang w:val="en-GB"/>
        </w:rPr>
        <w:footnoteRef/>
      </w:r>
      <w:r w:rsidRPr="00EA1079">
        <w:rPr>
          <w:lang w:val="en-GB"/>
        </w:rPr>
        <w:t xml:space="preserve"> </w:t>
      </w:r>
      <w:r w:rsidRPr="00EA1079">
        <w:rPr>
          <w:rFonts w:ascii="Calibri" w:eastAsia="Times New Roman" w:hAnsi="Calibri" w:cs="Times New Roman"/>
          <w:color w:val="000000"/>
          <w:lang w:val="en-GB" w:eastAsia="en-AU"/>
        </w:rPr>
        <w:t>As per ANSI C78.377: 2015 Specifications for the Chromaticity of Solid State Lighting Products</w:t>
      </w:r>
      <w:r w:rsidR="004550D8" w:rsidRPr="00EA1079">
        <w:rPr>
          <w:rFonts w:ascii="Calibri" w:eastAsia="Times New Roman" w:hAnsi="Calibri" w:cs="Times New Roman"/>
          <w:color w:val="000000"/>
          <w:lang w:val="en-GB" w:eastAsia="en-AU"/>
        </w:rPr>
        <w:t>.</w:t>
      </w:r>
    </w:p>
  </w:footnote>
  <w:footnote w:id="11">
    <w:p w14:paraId="376CB20D" w14:textId="7632B55D" w:rsidR="008A7529" w:rsidRPr="00EA1079" w:rsidRDefault="008A7529" w:rsidP="00951FD7">
      <w:pPr>
        <w:spacing w:after="60"/>
        <w:rPr>
          <w:sz w:val="20"/>
          <w:szCs w:val="20"/>
          <w:lang w:val="en-GB"/>
        </w:rPr>
      </w:pPr>
      <w:r w:rsidRPr="00EA1079">
        <w:rPr>
          <w:rStyle w:val="Odwoanieprzypisudolnego"/>
          <w:lang w:val="en-GB"/>
        </w:rPr>
        <w:footnoteRef/>
      </w:r>
      <w:r w:rsidRPr="00EA1079">
        <w:rPr>
          <w:lang w:val="en-GB"/>
        </w:rPr>
        <w:t xml:space="preserve"> </w:t>
      </w:r>
      <w:r w:rsidRPr="00EA1079">
        <w:rPr>
          <w:rFonts w:ascii="Times New Roman" w:hAnsi="Times New Roman" w:cs="Times New Roman"/>
          <w:sz w:val="20"/>
          <w:szCs w:val="20"/>
          <w:lang w:val="en-GB"/>
        </w:rPr>
        <w:t>Lifetimes are chosen as a balance between long lifetime,</w:t>
      </w:r>
      <w:r w:rsidR="00B32542" w:rsidRPr="00EA107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EA1079">
        <w:rPr>
          <w:rFonts w:ascii="Times New Roman" w:hAnsi="Times New Roman" w:cs="Times New Roman"/>
          <w:sz w:val="20"/>
          <w:szCs w:val="20"/>
          <w:lang w:val="en-GB"/>
        </w:rPr>
        <w:t>market price and efficacy will increase considerably for replacement products within the near future</w:t>
      </w:r>
      <w:r w:rsidR="004E77D1" w:rsidRPr="00EA1079">
        <w:rPr>
          <w:rFonts w:ascii="Times New Roman" w:hAnsi="Times New Roman" w:cs="Times New Roman"/>
          <w:sz w:val="20"/>
          <w:szCs w:val="20"/>
          <w:lang w:val="en-GB"/>
        </w:rPr>
        <w:t>.</w:t>
      </w:r>
      <w:r w:rsidRPr="00EA107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</w:footnote>
  <w:footnote w:id="12">
    <w:p w14:paraId="498B1325" w14:textId="4E104C3A" w:rsidR="00BD12A2" w:rsidRPr="00EA1079" w:rsidRDefault="00BD12A2">
      <w:pPr>
        <w:pStyle w:val="Tekstprzypisudolnego"/>
        <w:rPr>
          <w:lang w:val="en-GB"/>
        </w:rPr>
      </w:pPr>
      <w:r w:rsidRPr="00EA1079">
        <w:rPr>
          <w:rStyle w:val="Odwoanieprzypisudolnego"/>
          <w:lang w:val="en-GB"/>
        </w:rPr>
        <w:footnoteRef/>
      </w:r>
      <w:r w:rsidRPr="00EA1079">
        <w:rPr>
          <w:lang w:val="en-GB"/>
        </w:rPr>
        <w:t xml:space="preserve"> Higher than 15-20.000 in IEA SSL and Australia &amp;New Zealand because these criteria concern lamps for the professional market.</w:t>
      </w:r>
    </w:p>
  </w:footnote>
  <w:footnote w:id="13">
    <w:p w14:paraId="4F6F1F7D" w14:textId="76CA879E" w:rsidR="00BD12A2" w:rsidRPr="00EA1079" w:rsidRDefault="00BD12A2">
      <w:pPr>
        <w:pStyle w:val="Tekstprzypisudolnego"/>
        <w:rPr>
          <w:lang w:val="en-GB"/>
        </w:rPr>
      </w:pPr>
      <w:r w:rsidRPr="00EA1079">
        <w:rPr>
          <w:rStyle w:val="Odwoanieprzypisudolnego"/>
          <w:lang w:val="en-GB"/>
        </w:rPr>
        <w:footnoteRef/>
      </w:r>
      <w:r w:rsidRPr="00EA1079">
        <w:rPr>
          <w:lang w:val="en-GB"/>
        </w:rPr>
        <w:t xml:space="preserve"> The same as in IEA</w:t>
      </w:r>
      <w:r w:rsidR="00664E69">
        <w:rPr>
          <w:lang w:val="en-GB"/>
        </w:rPr>
        <w:t xml:space="preserve"> 4E</w:t>
      </w:r>
      <w:r w:rsidRPr="00EA1079">
        <w:rPr>
          <w:lang w:val="en-GB"/>
        </w:rPr>
        <w:t xml:space="preserve"> SSL Annex</w:t>
      </w:r>
    </w:p>
  </w:footnote>
  <w:footnote w:id="14">
    <w:p w14:paraId="650A91FE" w14:textId="52C1A69E" w:rsidR="00F44E62" w:rsidRPr="00EA1079" w:rsidRDefault="00F44E62">
      <w:pPr>
        <w:pStyle w:val="Tekstprzypisudolnego"/>
        <w:rPr>
          <w:lang w:val="en-GB"/>
        </w:rPr>
      </w:pPr>
      <w:r w:rsidRPr="00EA1079">
        <w:rPr>
          <w:rStyle w:val="Odwoanieprzypisudolnego"/>
          <w:lang w:val="en-GB"/>
        </w:rPr>
        <w:footnoteRef/>
      </w:r>
      <w:r w:rsidRPr="00EA1079">
        <w:rPr>
          <w:lang w:val="en-GB"/>
        </w:rPr>
        <w:t xml:space="preserve"> IEA</w:t>
      </w:r>
      <w:r w:rsidR="00664E69">
        <w:rPr>
          <w:lang w:val="en-GB"/>
        </w:rPr>
        <w:t xml:space="preserve"> 4E</w:t>
      </w:r>
      <w:r w:rsidRPr="00EA1079">
        <w:rPr>
          <w:lang w:val="en-GB"/>
        </w:rPr>
        <w:t xml:space="preserve"> SSL Annex 40,000 for high bay and low bay and 60,000 for planar luminaires</w:t>
      </w:r>
      <w:r w:rsidR="00B32542" w:rsidRPr="00EA1079">
        <w:rPr>
          <w:lang w:val="en-GB"/>
        </w:rPr>
        <w:t>. In Australia &amp; New Zealand d</w:t>
      </w:r>
      <w:r w:rsidRPr="00EA1079">
        <w:rPr>
          <w:lang w:val="en-GB"/>
        </w:rPr>
        <w:t>r</w:t>
      </w:r>
      <w:r w:rsidR="00B32542" w:rsidRPr="00EA1079">
        <w:rPr>
          <w:lang w:val="en-GB"/>
        </w:rPr>
        <w:t>a</w:t>
      </w:r>
      <w:r w:rsidRPr="00EA1079">
        <w:rPr>
          <w:lang w:val="en-GB"/>
        </w:rPr>
        <w:t>ft MEPS 45,000 h.</w:t>
      </w:r>
    </w:p>
  </w:footnote>
  <w:footnote w:id="15">
    <w:p w14:paraId="56A11A91" w14:textId="4F90C8D8" w:rsidR="0010383A" w:rsidRPr="00EA1079" w:rsidRDefault="0010383A">
      <w:pPr>
        <w:pStyle w:val="Tekstprzypisudolnego"/>
        <w:rPr>
          <w:lang w:val="en-GB"/>
        </w:rPr>
      </w:pPr>
      <w:r w:rsidRPr="00EA1079">
        <w:rPr>
          <w:rStyle w:val="Odwoanieprzypisudolnego"/>
          <w:lang w:val="en-GB"/>
        </w:rPr>
        <w:footnoteRef/>
      </w:r>
      <w:r w:rsidRPr="00EA1079">
        <w:rPr>
          <w:lang w:val="en-GB"/>
        </w:rPr>
        <w:t xml:space="preserve"> </w:t>
      </w:r>
      <w:r w:rsidRPr="00EA1079">
        <w:rPr>
          <w:rFonts w:ascii="Calibri" w:eastAsia="Times New Roman" w:hAnsi="Calibri" w:cs="Times New Roman"/>
          <w:color w:val="000000"/>
          <w:lang w:val="en-GB" w:eastAsia="en-AU"/>
        </w:rPr>
        <w:t>L</w:t>
      </w:r>
      <w:r w:rsidRPr="00EA1079">
        <w:rPr>
          <w:rFonts w:ascii="Calibri" w:eastAsia="Times New Roman" w:hAnsi="Calibri" w:cs="Times New Roman"/>
          <w:color w:val="000000"/>
          <w:vertAlign w:val="subscript"/>
          <w:lang w:val="en-GB" w:eastAsia="en-AU"/>
        </w:rPr>
        <w:t>70</w:t>
      </w:r>
      <w:r w:rsidRPr="00EA1079">
        <w:rPr>
          <w:rFonts w:ascii="Calibri" w:eastAsia="Times New Roman" w:hAnsi="Calibri" w:cs="Times New Roman"/>
          <w:color w:val="000000"/>
          <w:lang w:val="en-GB" w:eastAsia="en-AU"/>
        </w:rPr>
        <w:t>B</w:t>
      </w:r>
      <w:r w:rsidRPr="00EA1079">
        <w:rPr>
          <w:rFonts w:ascii="Calibri" w:eastAsia="Times New Roman" w:hAnsi="Calibri" w:cs="Times New Roman"/>
          <w:color w:val="000000"/>
          <w:vertAlign w:val="subscript"/>
          <w:lang w:val="en-GB" w:eastAsia="en-AU"/>
        </w:rPr>
        <w:t>50</w:t>
      </w:r>
      <w:r w:rsidRPr="00EA1079">
        <w:rPr>
          <w:rFonts w:ascii="Calibri" w:eastAsia="Times New Roman" w:hAnsi="Calibri" w:cs="Times New Roman"/>
          <w:color w:val="000000"/>
          <w:lang w:val="en-GB" w:eastAsia="en-AU"/>
        </w:rPr>
        <w:t xml:space="preserve"> </w:t>
      </w:r>
      <w:r w:rsidR="00CC58EC" w:rsidRPr="00EA1079">
        <w:rPr>
          <w:rFonts w:ascii="Calibri" w:eastAsia="Times New Roman" w:hAnsi="Calibri" w:cs="Times New Roman"/>
          <w:color w:val="000000"/>
          <w:lang w:val="en-GB" w:eastAsia="en-AU"/>
        </w:rPr>
        <w:t>≥ 15,</w:t>
      </w:r>
      <w:r w:rsidR="00CC58EC" w:rsidRPr="00EA1079">
        <w:rPr>
          <w:rFonts w:eastAsia="Times New Roman" w:cs="Times New Roman"/>
          <w:color w:val="000000"/>
          <w:lang w:val="en-GB" w:eastAsia="en-AU"/>
        </w:rPr>
        <w:t xml:space="preserve">000h </w:t>
      </w:r>
      <w:r w:rsidR="00CC58EC" w:rsidRPr="00EA1079">
        <w:rPr>
          <w:rFonts w:cs="Arial"/>
          <w:color w:val="000000"/>
          <w:lang w:val="en-GB" w:eastAsia="da-DK"/>
        </w:rPr>
        <w:t>means that</w:t>
      </w:r>
      <w:r w:rsidR="00D23AC5">
        <w:rPr>
          <w:rFonts w:cs="Arial"/>
          <w:color w:val="000000"/>
          <w:lang w:val="en-GB" w:eastAsia="da-DK"/>
        </w:rPr>
        <w:t xml:space="preserve"> at least</w:t>
      </w:r>
      <w:r w:rsidR="00CC58EC" w:rsidRPr="00EA1079">
        <w:rPr>
          <w:rFonts w:cs="Arial"/>
          <w:color w:val="000000"/>
          <w:lang w:val="en-GB" w:eastAsia="da-DK"/>
        </w:rPr>
        <w:t xml:space="preserve"> 50% of the lamps give 70% of the rated luminous flux until they are used 15,000 hours</w:t>
      </w:r>
    </w:p>
  </w:footnote>
  <w:footnote w:id="16">
    <w:p w14:paraId="0D40287B" w14:textId="50345244" w:rsidR="00AE2FEF" w:rsidRPr="00EA1079" w:rsidRDefault="00AE2FEF" w:rsidP="009D1BCF">
      <w:pPr>
        <w:rPr>
          <w:lang w:val="en-GB"/>
        </w:rPr>
      </w:pPr>
      <w:r w:rsidRPr="00EA1079">
        <w:rPr>
          <w:rStyle w:val="Odwoanieprzypisudolnego"/>
          <w:lang w:val="en-GB"/>
        </w:rPr>
        <w:footnoteRef/>
      </w:r>
      <w:r w:rsidRPr="00EA1079">
        <w:rPr>
          <w:lang w:val="en-GB"/>
        </w:rPr>
        <w:t xml:space="preserve"> </w:t>
      </w:r>
      <w:r w:rsidRPr="00EA1079">
        <w:rPr>
          <w:rFonts w:ascii="Calibri" w:eastAsia="Times New Roman" w:hAnsi="Calibri" w:cs="Times New Roman"/>
          <w:color w:val="000000"/>
          <w:sz w:val="20"/>
          <w:szCs w:val="20"/>
          <w:lang w:val="en-GB" w:eastAsia="en-AU"/>
        </w:rPr>
        <w:t>Not to be applied until a practical test method becomes available</w:t>
      </w:r>
      <w:r w:rsidR="004550D8" w:rsidRPr="00EA1079">
        <w:rPr>
          <w:rFonts w:ascii="Calibri" w:eastAsia="Times New Roman" w:hAnsi="Calibri" w:cs="Times New Roman"/>
          <w:color w:val="000000"/>
          <w:lang w:val="en-GB" w:eastAsia="en-AU"/>
        </w:rPr>
        <w:t>.</w:t>
      </w:r>
    </w:p>
  </w:footnote>
  <w:footnote w:id="17">
    <w:p w14:paraId="0CDF4C70" w14:textId="107FC75D" w:rsidR="003337CD" w:rsidRPr="00EA1079" w:rsidRDefault="003337CD">
      <w:pPr>
        <w:pStyle w:val="Tekstprzypisudolnego"/>
        <w:rPr>
          <w:lang w:val="en-GB"/>
        </w:rPr>
      </w:pPr>
      <w:r w:rsidRPr="00EA1079">
        <w:rPr>
          <w:rStyle w:val="Odwoanieprzypisudolnego"/>
          <w:lang w:val="en-GB"/>
        </w:rPr>
        <w:footnoteRef/>
      </w:r>
      <w:r w:rsidRPr="00EA1079">
        <w:rPr>
          <w:lang w:val="en-GB"/>
        </w:rPr>
        <w:t xml:space="preserve"> </w:t>
      </w:r>
      <w:r w:rsidR="00B32542" w:rsidRPr="00EA1079">
        <w:rPr>
          <w:rFonts w:ascii="Calibri" w:eastAsia="Times New Roman" w:hAnsi="Calibri" w:cs="Times New Roman"/>
          <w:color w:val="000000"/>
          <w:lang w:val="en-GB" w:eastAsia="en-AU"/>
        </w:rPr>
        <w:t>This</w:t>
      </w:r>
      <w:r w:rsidRPr="00EA1079">
        <w:rPr>
          <w:rFonts w:ascii="Calibri" w:eastAsia="Times New Roman" w:hAnsi="Calibri" w:cs="Times New Roman"/>
          <w:color w:val="000000"/>
          <w:lang w:val="en-GB" w:eastAsia="en-AU"/>
        </w:rPr>
        <w:t xml:space="preserve"> requirement</w:t>
      </w:r>
      <w:r w:rsidR="00B32542" w:rsidRPr="00EA1079">
        <w:rPr>
          <w:rFonts w:ascii="Calibri" w:eastAsia="Times New Roman" w:hAnsi="Calibri" w:cs="Times New Roman"/>
          <w:color w:val="000000"/>
          <w:lang w:val="en-GB" w:eastAsia="en-AU"/>
        </w:rPr>
        <w:t xml:space="preserve"> is</w:t>
      </w:r>
      <w:r w:rsidRPr="00EA1079">
        <w:rPr>
          <w:rFonts w:ascii="Calibri" w:eastAsia="Times New Roman" w:hAnsi="Calibri" w:cs="Times New Roman"/>
          <w:color w:val="000000"/>
          <w:lang w:val="en-GB" w:eastAsia="en-AU"/>
        </w:rPr>
        <w:t xml:space="preserve"> defined by IEA</w:t>
      </w:r>
      <w:r w:rsidR="00664E69">
        <w:rPr>
          <w:rFonts w:ascii="Calibri" w:eastAsia="Times New Roman" w:hAnsi="Calibri" w:cs="Times New Roman"/>
          <w:color w:val="000000"/>
          <w:lang w:val="en-GB" w:eastAsia="en-AU"/>
        </w:rPr>
        <w:t xml:space="preserve"> 4E </w:t>
      </w:r>
      <w:r w:rsidRPr="00EA1079">
        <w:rPr>
          <w:rFonts w:ascii="Calibri" w:eastAsia="Times New Roman" w:hAnsi="Calibri" w:cs="Times New Roman"/>
          <w:color w:val="000000"/>
          <w:lang w:val="en-GB" w:eastAsia="en-AU"/>
        </w:rPr>
        <w:t>SSL Annex</w:t>
      </w:r>
    </w:p>
  </w:footnote>
  <w:footnote w:id="18">
    <w:p w14:paraId="6B95BD15" w14:textId="3FFC5ADB" w:rsidR="00AE2FEF" w:rsidRPr="00EA1079" w:rsidRDefault="00AE2FEF" w:rsidP="00193995">
      <w:pPr>
        <w:spacing w:after="40" w:line="240" w:lineRule="atLeast"/>
        <w:rPr>
          <w:sz w:val="20"/>
          <w:szCs w:val="20"/>
          <w:lang w:val="en-GB"/>
        </w:rPr>
      </w:pPr>
      <w:r w:rsidRPr="00EA1079">
        <w:rPr>
          <w:rStyle w:val="Odwoanieprzypisudolnego"/>
          <w:lang w:val="en-GB"/>
        </w:rPr>
        <w:footnoteRef/>
      </w:r>
      <w:r w:rsidRPr="00EA1079">
        <w:rPr>
          <w:lang w:val="en-GB"/>
        </w:rPr>
        <w:t xml:space="preserve"> </w:t>
      </w:r>
      <w:r w:rsidRPr="00EA1079">
        <w:rPr>
          <w:rFonts w:eastAsia="Times New Roman" w:cs="Times New Roman"/>
          <w:color w:val="000000"/>
          <w:sz w:val="20"/>
          <w:szCs w:val="20"/>
          <w:lang w:val="en-GB" w:eastAsia="en-AU"/>
        </w:rPr>
        <w:t>Based on IEC 62471/CIE S009</w:t>
      </w:r>
      <w:r w:rsidR="00131D76" w:rsidRPr="00EA1079">
        <w:rPr>
          <w:rFonts w:eastAsia="Times New Roman" w:cs="Times New Roman"/>
          <w:color w:val="000000"/>
          <w:sz w:val="20"/>
          <w:szCs w:val="20"/>
          <w:lang w:val="en-GB" w:eastAsia="en-AU"/>
        </w:rPr>
        <w:t xml:space="preserve">. See also </w:t>
      </w:r>
      <w:r w:rsidRPr="00EA1079">
        <w:rPr>
          <w:rFonts w:eastAsia="Times New Roman" w:cs="Times New Roman"/>
          <w:color w:val="000000"/>
          <w:sz w:val="20"/>
          <w:szCs w:val="20"/>
          <w:lang w:val="en-GB" w:eastAsia="en-AU"/>
        </w:rPr>
        <w:t>IEC/TR 62778:2014</w:t>
      </w:r>
      <w:r w:rsidRPr="00EA1079">
        <w:rPr>
          <w:rFonts w:eastAsia="MS Gothic" w:cs="MS Gothic"/>
          <w:color w:val="000000"/>
          <w:sz w:val="20"/>
          <w:szCs w:val="20"/>
          <w:lang w:val="en-GB" w:eastAsia="en-AU"/>
        </w:rPr>
        <w:t>:</w:t>
      </w:r>
      <w:r w:rsidRPr="00EA1079">
        <w:rPr>
          <w:rFonts w:eastAsia="Times New Roman" w:cs="Times New Roman"/>
          <w:color w:val="000000"/>
          <w:sz w:val="20"/>
          <w:szCs w:val="20"/>
          <w:lang w:val="en-GB" w:eastAsia="en-AU"/>
        </w:rPr>
        <w:t>Application of IEC 62471 for the assessment of blue light hazard to light sources and luminaires</w:t>
      </w:r>
      <w:r w:rsidR="004550D8" w:rsidRPr="00EA1079">
        <w:rPr>
          <w:rFonts w:eastAsia="Times New Roman" w:cs="Times New Roman"/>
          <w:color w:val="000000"/>
          <w:sz w:val="20"/>
          <w:szCs w:val="20"/>
          <w:lang w:val="en-GB" w:eastAsia="en-AU"/>
        </w:rPr>
        <w:t>.</w:t>
      </w:r>
    </w:p>
  </w:footnote>
  <w:footnote w:id="19">
    <w:p w14:paraId="29C89D80" w14:textId="27A470C5" w:rsidR="001918B4" w:rsidRPr="00EA1079" w:rsidRDefault="001918B4" w:rsidP="001918B4">
      <w:pPr>
        <w:pStyle w:val="Tekstprzypisudolnego"/>
        <w:rPr>
          <w:lang w:val="en-GB"/>
        </w:rPr>
      </w:pPr>
      <w:r w:rsidRPr="00EA1079">
        <w:rPr>
          <w:rStyle w:val="Odwoanieprzypisudolnego"/>
          <w:lang w:val="en-GB"/>
        </w:rPr>
        <w:footnoteRef/>
      </w:r>
      <w:r w:rsidRPr="00EA1079">
        <w:rPr>
          <w:lang w:val="en-GB"/>
        </w:rPr>
        <w:t xml:space="preserve"> Based on IEEE 1789:2015</w:t>
      </w:r>
      <w:r w:rsidR="004550D8" w:rsidRPr="00EA1079">
        <w:rPr>
          <w:lang w:val="en-GB"/>
        </w:rPr>
        <w:t>.</w:t>
      </w:r>
      <w:r w:rsidR="006D713E" w:rsidRPr="006D713E">
        <w:rPr>
          <w:lang w:val="en-GB"/>
        </w:rPr>
        <w:t xml:space="preserve"> The priority here is on restricting the visible modulation of light (including flicker) at frequencies ≤ 90 Hz, as more research is required beyond 90 Hz (</w:t>
      </w:r>
      <w:proofErr w:type="spellStart"/>
      <w:r w:rsidR="006D713E" w:rsidRPr="006D713E">
        <w:rPr>
          <w:lang w:val="en-GB"/>
        </w:rPr>
        <w:t>ie</w:t>
      </w:r>
      <w:proofErr w:type="spellEnd"/>
      <w:r w:rsidR="006D713E" w:rsidRPr="006D713E">
        <w:rPr>
          <w:lang w:val="en-GB"/>
        </w:rPr>
        <w:t xml:space="preserve"> non-visible effects). </w:t>
      </w:r>
      <w:r w:rsidR="006D713E">
        <w:rPr>
          <w:lang w:val="en-GB"/>
        </w:rPr>
        <w:t>There is a</w:t>
      </w:r>
      <w:r w:rsidR="006D713E" w:rsidRPr="006D713E">
        <w:rPr>
          <w:lang w:val="en-GB"/>
        </w:rPr>
        <w:t xml:space="preserve"> lack of a standard for the photometric measurement of modulated light</w:t>
      </w:r>
      <w:r w:rsidR="00D15ED1">
        <w:rPr>
          <w:lang w:val="en-GB"/>
        </w:rPr>
        <w:t xml:space="preserve">. An updated shall be made </w:t>
      </w:r>
      <w:r w:rsidR="006D713E" w:rsidRPr="006D713E">
        <w:rPr>
          <w:lang w:val="en-GB"/>
        </w:rPr>
        <w:t xml:space="preserve">when </w:t>
      </w:r>
      <w:r w:rsidR="00D15ED1">
        <w:rPr>
          <w:lang w:val="en-GB"/>
        </w:rPr>
        <w:t>new</w:t>
      </w:r>
      <w:r w:rsidR="006D713E" w:rsidRPr="006D713E">
        <w:rPr>
          <w:lang w:val="en-GB"/>
        </w:rPr>
        <w:t xml:space="preserve"> guidance </w:t>
      </w:r>
      <w:r w:rsidR="00D15ED1">
        <w:rPr>
          <w:lang w:val="en-GB"/>
        </w:rPr>
        <w:t>be</w:t>
      </w:r>
      <w:r w:rsidR="006D713E" w:rsidRPr="006D713E">
        <w:rPr>
          <w:lang w:val="en-GB"/>
        </w:rPr>
        <w:t>comes</w:t>
      </w:r>
      <w:r w:rsidR="00D15ED1">
        <w:rPr>
          <w:lang w:val="en-GB"/>
        </w:rPr>
        <w:t xml:space="preserve"> available.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3906"/>
      <w:docPartObj>
        <w:docPartGallery w:val="Watermarks"/>
        <w:docPartUnique/>
      </w:docPartObj>
    </w:sdtPr>
    <w:sdtEndPr/>
    <w:sdtContent>
      <w:p w14:paraId="01CC6C79" w14:textId="77777777" w:rsidR="0017400F" w:rsidRDefault="00D30229">
        <w:pPr>
          <w:pStyle w:val="Nagwek"/>
        </w:pPr>
        <w:r>
          <w:rPr>
            <w:noProof/>
            <w:lang w:val="en-US"/>
          </w:rPr>
          <w:pict w14:anchorId="1AC7E5E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4BA"/>
    <w:multiLevelType w:val="hybridMultilevel"/>
    <w:tmpl w:val="B0F075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405ED"/>
    <w:multiLevelType w:val="hybridMultilevel"/>
    <w:tmpl w:val="EA100D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322EE"/>
    <w:multiLevelType w:val="hybridMultilevel"/>
    <w:tmpl w:val="8F9A82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F417D"/>
    <w:multiLevelType w:val="hybridMultilevel"/>
    <w:tmpl w:val="381CD1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071A2"/>
    <w:multiLevelType w:val="hybridMultilevel"/>
    <w:tmpl w:val="CE40F0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EC"/>
    <w:rsid w:val="0000225E"/>
    <w:rsid w:val="00002987"/>
    <w:rsid w:val="00004F14"/>
    <w:rsid w:val="00006B9E"/>
    <w:rsid w:val="00010BDA"/>
    <w:rsid w:val="0001267F"/>
    <w:rsid w:val="00012A27"/>
    <w:rsid w:val="00012DDA"/>
    <w:rsid w:val="00020FF5"/>
    <w:rsid w:val="00021F09"/>
    <w:rsid w:val="00033B01"/>
    <w:rsid w:val="00040112"/>
    <w:rsid w:val="00040651"/>
    <w:rsid w:val="00040848"/>
    <w:rsid w:val="00052989"/>
    <w:rsid w:val="00063DE6"/>
    <w:rsid w:val="00070179"/>
    <w:rsid w:val="00075988"/>
    <w:rsid w:val="00081C60"/>
    <w:rsid w:val="00095E74"/>
    <w:rsid w:val="000C35E2"/>
    <w:rsid w:val="000D13B2"/>
    <w:rsid w:val="000D5DAE"/>
    <w:rsid w:val="000F76FF"/>
    <w:rsid w:val="000F7F82"/>
    <w:rsid w:val="00100019"/>
    <w:rsid w:val="0010383A"/>
    <w:rsid w:val="0010678F"/>
    <w:rsid w:val="00106A06"/>
    <w:rsid w:val="001105D4"/>
    <w:rsid w:val="00112840"/>
    <w:rsid w:val="001151A8"/>
    <w:rsid w:val="001171F8"/>
    <w:rsid w:val="00131D76"/>
    <w:rsid w:val="00133228"/>
    <w:rsid w:val="00137B9A"/>
    <w:rsid w:val="00142B33"/>
    <w:rsid w:val="00154718"/>
    <w:rsid w:val="001574CC"/>
    <w:rsid w:val="001625C4"/>
    <w:rsid w:val="00164C96"/>
    <w:rsid w:val="001660D3"/>
    <w:rsid w:val="00167B7C"/>
    <w:rsid w:val="00170E6A"/>
    <w:rsid w:val="0017400F"/>
    <w:rsid w:val="00175722"/>
    <w:rsid w:val="00183BC8"/>
    <w:rsid w:val="00190583"/>
    <w:rsid w:val="001918B4"/>
    <w:rsid w:val="00193995"/>
    <w:rsid w:val="001B05E1"/>
    <w:rsid w:val="001C0922"/>
    <w:rsid w:val="001C309E"/>
    <w:rsid w:val="001C5029"/>
    <w:rsid w:val="001C63AF"/>
    <w:rsid w:val="001E3C7A"/>
    <w:rsid w:val="001F25AF"/>
    <w:rsid w:val="001F40E3"/>
    <w:rsid w:val="001F647C"/>
    <w:rsid w:val="002056AB"/>
    <w:rsid w:val="002105AE"/>
    <w:rsid w:val="0021081D"/>
    <w:rsid w:val="00210A26"/>
    <w:rsid w:val="0021613B"/>
    <w:rsid w:val="002407DF"/>
    <w:rsid w:val="00246648"/>
    <w:rsid w:val="00257A5E"/>
    <w:rsid w:val="002625AE"/>
    <w:rsid w:val="00262BDA"/>
    <w:rsid w:val="00263984"/>
    <w:rsid w:val="002646A1"/>
    <w:rsid w:val="00271F80"/>
    <w:rsid w:val="002757B2"/>
    <w:rsid w:val="0028357F"/>
    <w:rsid w:val="0028459C"/>
    <w:rsid w:val="00292241"/>
    <w:rsid w:val="002924C3"/>
    <w:rsid w:val="00295747"/>
    <w:rsid w:val="002A1A9F"/>
    <w:rsid w:val="002A1D40"/>
    <w:rsid w:val="002A1E88"/>
    <w:rsid w:val="002A49D2"/>
    <w:rsid w:val="002A5C70"/>
    <w:rsid w:val="002B0396"/>
    <w:rsid w:val="002B0953"/>
    <w:rsid w:val="002B6758"/>
    <w:rsid w:val="002D4E55"/>
    <w:rsid w:val="002E5BE5"/>
    <w:rsid w:val="002E73EC"/>
    <w:rsid w:val="002F6572"/>
    <w:rsid w:val="002F664C"/>
    <w:rsid w:val="0030123A"/>
    <w:rsid w:val="00315B0D"/>
    <w:rsid w:val="00316227"/>
    <w:rsid w:val="0032299A"/>
    <w:rsid w:val="00322FA2"/>
    <w:rsid w:val="00327913"/>
    <w:rsid w:val="00327DA5"/>
    <w:rsid w:val="003337CD"/>
    <w:rsid w:val="00336E08"/>
    <w:rsid w:val="003436C8"/>
    <w:rsid w:val="003470B8"/>
    <w:rsid w:val="00355E7A"/>
    <w:rsid w:val="003571AF"/>
    <w:rsid w:val="00361326"/>
    <w:rsid w:val="00374CFF"/>
    <w:rsid w:val="00375FBC"/>
    <w:rsid w:val="00384F71"/>
    <w:rsid w:val="00385F4D"/>
    <w:rsid w:val="003929ED"/>
    <w:rsid w:val="00396FF6"/>
    <w:rsid w:val="003A2DC9"/>
    <w:rsid w:val="003B2DE9"/>
    <w:rsid w:val="003D46C4"/>
    <w:rsid w:val="003E30D8"/>
    <w:rsid w:val="003E33C3"/>
    <w:rsid w:val="003E64CF"/>
    <w:rsid w:val="003E6E38"/>
    <w:rsid w:val="003E7AD2"/>
    <w:rsid w:val="003F2B97"/>
    <w:rsid w:val="004009DE"/>
    <w:rsid w:val="00401A1E"/>
    <w:rsid w:val="00403B71"/>
    <w:rsid w:val="00407812"/>
    <w:rsid w:val="004116AB"/>
    <w:rsid w:val="00422FBB"/>
    <w:rsid w:val="004257CF"/>
    <w:rsid w:val="00427556"/>
    <w:rsid w:val="004369DB"/>
    <w:rsid w:val="0044102F"/>
    <w:rsid w:val="004444EF"/>
    <w:rsid w:val="004550D8"/>
    <w:rsid w:val="004571F5"/>
    <w:rsid w:val="00460C57"/>
    <w:rsid w:val="0047028A"/>
    <w:rsid w:val="00480607"/>
    <w:rsid w:val="00483151"/>
    <w:rsid w:val="0049009F"/>
    <w:rsid w:val="00490C09"/>
    <w:rsid w:val="00490EBC"/>
    <w:rsid w:val="004A5BCB"/>
    <w:rsid w:val="004B36E9"/>
    <w:rsid w:val="004C73CC"/>
    <w:rsid w:val="004C7E35"/>
    <w:rsid w:val="004D4BFE"/>
    <w:rsid w:val="004D6B85"/>
    <w:rsid w:val="004E30BB"/>
    <w:rsid w:val="004E77D1"/>
    <w:rsid w:val="004F2E10"/>
    <w:rsid w:val="004F3E98"/>
    <w:rsid w:val="00513C3B"/>
    <w:rsid w:val="00521BF2"/>
    <w:rsid w:val="00522DD9"/>
    <w:rsid w:val="00526D59"/>
    <w:rsid w:val="0053301F"/>
    <w:rsid w:val="005434ED"/>
    <w:rsid w:val="00544334"/>
    <w:rsid w:val="00546AAD"/>
    <w:rsid w:val="00554F28"/>
    <w:rsid w:val="00563147"/>
    <w:rsid w:val="00563636"/>
    <w:rsid w:val="00563E3A"/>
    <w:rsid w:val="00580D06"/>
    <w:rsid w:val="005941C3"/>
    <w:rsid w:val="00596DA4"/>
    <w:rsid w:val="005D45E0"/>
    <w:rsid w:val="005D5FD1"/>
    <w:rsid w:val="005D7B8B"/>
    <w:rsid w:val="005E0228"/>
    <w:rsid w:val="005F21FE"/>
    <w:rsid w:val="00621CBF"/>
    <w:rsid w:val="00630D9D"/>
    <w:rsid w:val="006328FB"/>
    <w:rsid w:val="006338B7"/>
    <w:rsid w:val="00633EEB"/>
    <w:rsid w:val="00647A80"/>
    <w:rsid w:val="00656982"/>
    <w:rsid w:val="00664E69"/>
    <w:rsid w:val="006735CD"/>
    <w:rsid w:val="006774DB"/>
    <w:rsid w:val="00684396"/>
    <w:rsid w:val="00685098"/>
    <w:rsid w:val="006A2C8D"/>
    <w:rsid w:val="006A5A7C"/>
    <w:rsid w:val="006A649B"/>
    <w:rsid w:val="006B125B"/>
    <w:rsid w:val="006C6079"/>
    <w:rsid w:val="006C7A06"/>
    <w:rsid w:val="006D08FC"/>
    <w:rsid w:val="006D713E"/>
    <w:rsid w:val="006E39D9"/>
    <w:rsid w:val="006F1F6E"/>
    <w:rsid w:val="00701310"/>
    <w:rsid w:val="00701571"/>
    <w:rsid w:val="00704ED4"/>
    <w:rsid w:val="00737474"/>
    <w:rsid w:val="007521FA"/>
    <w:rsid w:val="00754EED"/>
    <w:rsid w:val="00766279"/>
    <w:rsid w:val="00767FA9"/>
    <w:rsid w:val="00772892"/>
    <w:rsid w:val="00773C68"/>
    <w:rsid w:val="007806C0"/>
    <w:rsid w:val="007937A0"/>
    <w:rsid w:val="00796D25"/>
    <w:rsid w:val="007A46EF"/>
    <w:rsid w:val="007B1228"/>
    <w:rsid w:val="007B5936"/>
    <w:rsid w:val="007B5ADC"/>
    <w:rsid w:val="007B5FE3"/>
    <w:rsid w:val="007C3BD1"/>
    <w:rsid w:val="007D1198"/>
    <w:rsid w:val="007D1ABB"/>
    <w:rsid w:val="007D2E5B"/>
    <w:rsid w:val="007D3172"/>
    <w:rsid w:val="007D420D"/>
    <w:rsid w:val="007E0D2A"/>
    <w:rsid w:val="007F6372"/>
    <w:rsid w:val="00802277"/>
    <w:rsid w:val="00802DE6"/>
    <w:rsid w:val="00805B47"/>
    <w:rsid w:val="0081113D"/>
    <w:rsid w:val="00815A9A"/>
    <w:rsid w:val="0082137B"/>
    <w:rsid w:val="00821849"/>
    <w:rsid w:val="00822835"/>
    <w:rsid w:val="008276BE"/>
    <w:rsid w:val="0084217C"/>
    <w:rsid w:val="008435E3"/>
    <w:rsid w:val="00844E5E"/>
    <w:rsid w:val="00846B9A"/>
    <w:rsid w:val="00846C06"/>
    <w:rsid w:val="00851FC0"/>
    <w:rsid w:val="0085541C"/>
    <w:rsid w:val="00861DF6"/>
    <w:rsid w:val="0087617A"/>
    <w:rsid w:val="008815A5"/>
    <w:rsid w:val="00884A1A"/>
    <w:rsid w:val="0089571F"/>
    <w:rsid w:val="008A40B4"/>
    <w:rsid w:val="008A7529"/>
    <w:rsid w:val="008C24F4"/>
    <w:rsid w:val="008C2EE3"/>
    <w:rsid w:val="008E0E65"/>
    <w:rsid w:val="008E5DEA"/>
    <w:rsid w:val="008F20A9"/>
    <w:rsid w:val="008F56A6"/>
    <w:rsid w:val="008F59A2"/>
    <w:rsid w:val="008F7478"/>
    <w:rsid w:val="00902F62"/>
    <w:rsid w:val="00903F4B"/>
    <w:rsid w:val="00905149"/>
    <w:rsid w:val="00905B38"/>
    <w:rsid w:val="009068D5"/>
    <w:rsid w:val="0092477C"/>
    <w:rsid w:val="00926275"/>
    <w:rsid w:val="00932DE0"/>
    <w:rsid w:val="0093774A"/>
    <w:rsid w:val="00945E6F"/>
    <w:rsid w:val="00951FD7"/>
    <w:rsid w:val="00962689"/>
    <w:rsid w:val="00966FF7"/>
    <w:rsid w:val="0097150D"/>
    <w:rsid w:val="00981466"/>
    <w:rsid w:val="00986264"/>
    <w:rsid w:val="009A0ED3"/>
    <w:rsid w:val="009A3EB1"/>
    <w:rsid w:val="009A468E"/>
    <w:rsid w:val="009A6F43"/>
    <w:rsid w:val="009C699F"/>
    <w:rsid w:val="009D1BCF"/>
    <w:rsid w:val="009D65D5"/>
    <w:rsid w:val="009D6986"/>
    <w:rsid w:val="009D784B"/>
    <w:rsid w:val="009F59CD"/>
    <w:rsid w:val="00A02E4B"/>
    <w:rsid w:val="00A07038"/>
    <w:rsid w:val="00A10B7F"/>
    <w:rsid w:val="00A12E21"/>
    <w:rsid w:val="00A136C0"/>
    <w:rsid w:val="00A144EA"/>
    <w:rsid w:val="00A22BD5"/>
    <w:rsid w:val="00A37450"/>
    <w:rsid w:val="00A433AD"/>
    <w:rsid w:val="00A52082"/>
    <w:rsid w:val="00A5367E"/>
    <w:rsid w:val="00A54DD4"/>
    <w:rsid w:val="00A6078C"/>
    <w:rsid w:val="00A93129"/>
    <w:rsid w:val="00AA4407"/>
    <w:rsid w:val="00AA74FD"/>
    <w:rsid w:val="00AB2161"/>
    <w:rsid w:val="00AB293A"/>
    <w:rsid w:val="00AD4909"/>
    <w:rsid w:val="00AD7453"/>
    <w:rsid w:val="00AE19B8"/>
    <w:rsid w:val="00AE2FEF"/>
    <w:rsid w:val="00AE3E5F"/>
    <w:rsid w:val="00AF1DDE"/>
    <w:rsid w:val="00AF50DB"/>
    <w:rsid w:val="00B040FF"/>
    <w:rsid w:val="00B0674B"/>
    <w:rsid w:val="00B134F3"/>
    <w:rsid w:val="00B15026"/>
    <w:rsid w:val="00B2122B"/>
    <w:rsid w:val="00B22A89"/>
    <w:rsid w:val="00B22BAF"/>
    <w:rsid w:val="00B237FC"/>
    <w:rsid w:val="00B25757"/>
    <w:rsid w:val="00B26E51"/>
    <w:rsid w:val="00B32542"/>
    <w:rsid w:val="00B36B5F"/>
    <w:rsid w:val="00B430F8"/>
    <w:rsid w:val="00B458CE"/>
    <w:rsid w:val="00B4615B"/>
    <w:rsid w:val="00B473EB"/>
    <w:rsid w:val="00B52D1B"/>
    <w:rsid w:val="00B5499F"/>
    <w:rsid w:val="00B56863"/>
    <w:rsid w:val="00B6470D"/>
    <w:rsid w:val="00B65312"/>
    <w:rsid w:val="00B87D9E"/>
    <w:rsid w:val="00B914AE"/>
    <w:rsid w:val="00BA0A88"/>
    <w:rsid w:val="00BA3437"/>
    <w:rsid w:val="00BA5232"/>
    <w:rsid w:val="00BA55B4"/>
    <w:rsid w:val="00BB4883"/>
    <w:rsid w:val="00BB4C9E"/>
    <w:rsid w:val="00BC77FF"/>
    <w:rsid w:val="00BD12A2"/>
    <w:rsid w:val="00BD3049"/>
    <w:rsid w:val="00BE1B25"/>
    <w:rsid w:val="00BE3171"/>
    <w:rsid w:val="00BF1EE2"/>
    <w:rsid w:val="00C0144C"/>
    <w:rsid w:val="00C035F4"/>
    <w:rsid w:val="00C04507"/>
    <w:rsid w:val="00C07EC7"/>
    <w:rsid w:val="00C14108"/>
    <w:rsid w:val="00C22FCB"/>
    <w:rsid w:val="00C246FC"/>
    <w:rsid w:val="00C302BD"/>
    <w:rsid w:val="00C3325D"/>
    <w:rsid w:val="00C40D20"/>
    <w:rsid w:val="00C4250F"/>
    <w:rsid w:val="00C45096"/>
    <w:rsid w:val="00C45331"/>
    <w:rsid w:val="00C470D1"/>
    <w:rsid w:val="00C53EA6"/>
    <w:rsid w:val="00C57B8C"/>
    <w:rsid w:val="00C80E65"/>
    <w:rsid w:val="00C8500A"/>
    <w:rsid w:val="00C90456"/>
    <w:rsid w:val="00CB7638"/>
    <w:rsid w:val="00CC58EC"/>
    <w:rsid w:val="00CC6225"/>
    <w:rsid w:val="00CC7026"/>
    <w:rsid w:val="00CE3538"/>
    <w:rsid w:val="00CF0CAE"/>
    <w:rsid w:val="00CF4CC7"/>
    <w:rsid w:val="00CF5B7A"/>
    <w:rsid w:val="00D025FC"/>
    <w:rsid w:val="00D15ED1"/>
    <w:rsid w:val="00D20620"/>
    <w:rsid w:val="00D20CB5"/>
    <w:rsid w:val="00D211DB"/>
    <w:rsid w:val="00D23AC5"/>
    <w:rsid w:val="00D25914"/>
    <w:rsid w:val="00D30229"/>
    <w:rsid w:val="00D62691"/>
    <w:rsid w:val="00D63B2D"/>
    <w:rsid w:val="00D75A5C"/>
    <w:rsid w:val="00D82A98"/>
    <w:rsid w:val="00D96414"/>
    <w:rsid w:val="00DB3C16"/>
    <w:rsid w:val="00DB6F52"/>
    <w:rsid w:val="00DD7F10"/>
    <w:rsid w:val="00DF3243"/>
    <w:rsid w:val="00DF4658"/>
    <w:rsid w:val="00E01FB5"/>
    <w:rsid w:val="00E02BB0"/>
    <w:rsid w:val="00E06746"/>
    <w:rsid w:val="00E300D3"/>
    <w:rsid w:val="00E46E13"/>
    <w:rsid w:val="00E62AAC"/>
    <w:rsid w:val="00E62CB0"/>
    <w:rsid w:val="00E6717B"/>
    <w:rsid w:val="00E7586E"/>
    <w:rsid w:val="00E76298"/>
    <w:rsid w:val="00E8401F"/>
    <w:rsid w:val="00E86DC0"/>
    <w:rsid w:val="00E8791E"/>
    <w:rsid w:val="00EA1079"/>
    <w:rsid w:val="00EA10D5"/>
    <w:rsid w:val="00EA5A1A"/>
    <w:rsid w:val="00EB0179"/>
    <w:rsid w:val="00ED34D4"/>
    <w:rsid w:val="00ED4D7A"/>
    <w:rsid w:val="00EF309B"/>
    <w:rsid w:val="00EF54B1"/>
    <w:rsid w:val="00F02C62"/>
    <w:rsid w:val="00F02D77"/>
    <w:rsid w:val="00F05433"/>
    <w:rsid w:val="00F06214"/>
    <w:rsid w:val="00F11503"/>
    <w:rsid w:val="00F15A78"/>
    <w:rsid w:val="00F274C9"/>
    <w:rsid w:val="00F278F6"/>
    <w:rsid w:val="00F27A18"/>
    <w:rsid w:val="00F3314A"/>
    <w:rsid w:val="00F340B1"/>
    <w:rsid w:val="00F37E68"/>
    <w:rsid w:val="00F4247C"/>
    <w:rsid w:val="00F44E62"/>
    <w:rsid w:val="00F46EB2"/>
    <w:rsid w:val="00F55211"/>
    <w:rsid w:val="00F871E1"/>
    <w:rsid w:val="00F94F6E"/>
    <w:rsid w:val="00FA7D3E"/>
    <w:rsid w:val="00FB5BCE"/>
    <w:rsid w:val="00FC50FB"/>
    <w:rsid w:val="00FC693E"/>
    <w:rsid w:val="00FC7B4B"/>
    <w:rsid w:val="00FD2898"/>
    <w:rsid w:val="00FD6584"/>
    <w:rsid w:val="00FD7407"/>
    <w:rsid w:val="00FE3888"/>
    <w:rsid w:val="00FE506F"/>
    <w:rsid w:val="00FF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046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1E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1E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4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1E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F1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40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/>
    </w:rPr>
  </w:style>
  <w:style w:type="paragraph" w:styleId="Akapitzlist">
    <w:name w:val="List Paragraph"/>
    <w:basedOn w:val="Normalny"/>
    <w:uiPriority w:val="34"/>
    <w:qFormat/>
    <w:rsid w:val="002E73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F6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62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aliases w:val="text"/>
    <w:basedOn w:val="Normalny"/>
    <w:link w:val="t"/>
    <w:rsid w:val="00D96414"/>
    <w:pPr>
      <w:spacing w:after="24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">
    <w:name w:val="t"/>
    <w:aliases w:val="text Char,text Char Char"/>
    <w:basedOn w:val="Domylnaczcionkaakapitu"/>
    <w:link w:val="t1"/>
    <w:rsid w:val="00D96414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ipercze">
    <w:name w:val="Hyperlink"/>
    <w:uiPriority w:val="99"/>
    <w:unhideWhenUsed/>
    <w:rsid w:val="0031622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62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62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6227"/>
    <w:rPr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BF1E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BF1EE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F1EE2"/>
    <w:pPr>
      <w:spacing w:after="100"/>
      <w:ind w:left="2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E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E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E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D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D9D"/>
    <w:rPr>
      <w:b/>
      <w:bCs/>
      <w:sz w:val="20"/>
      <w:szCs w:val="20"/>
    </w:rPr>
  </w:style>
  <w:style w:type="table" w:styleId="Jasnecieniowanie">
    <w:name w:val="Light Shading"/>
    <w:basedOn w:val="Standardowy"/>
    <w:uiPriority w:val="60"/>
    <w:rsid w:val="0017400F"/>
    <w:pPr>
      <w:spacing w:after="0" w:line="240" w:lineRule="auto"/>
    </w:pPr>
    <w:rPr>
      <w:color w:val="000000" w:themeColor="text1" w:themeShade="BF"/>
      <w:lang w:val="en-A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17400F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NagwekZnak">
    <w:name w:val="Nagłówek Znak"/>
    <w:basedOn w:val="Domylnaczcionkaakapitu"/>
    <w:link w:val="Nagwek"/>
    <w:uiPriority w:val="99"/>
    <w:rsid w:val="0017400F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17400F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StopkaZnak">
    <w:name w:val="Stopka Znak"/>
    <w:basedOn w:val="Domylnaczcionkaakapitu"/>
    <w:link w:val="Stopka"/>
    <w:uiPriority w:val="99"/>
    <w:rsid w:val="0017400F"/>
    <w:rPr>
      <w:lang w:val="en-AU"/>
    </w:rPr>
  </w:style>
  <w:style w:type="table" w:customStyle="1" w:styleId="TableGrid1">
    <w:name w:val="Table Grid1"/>
    <w:basedOn w:val="Standardowy"/>
    <w:next w:val="Tabela-Siatka"/>
    <w:uiPriority w:val="59"/>
    <w:rsid w:val="0017400F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Standardowy"/>
    <w:next w:val="Tabela-Siatka"/>
    <w:uiPriority w:val="59"/>
    <w:rsid w:val="0017400F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Standardowy"/>
    <w:next w:val="Tabela-Siatka"/>
    <w:uiPriority w:val="59"/>
    <w:rsid w:val="0017400F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Standardowy"/>
    <w:next w:val="Tabela-Siatka"/>
    <w:uiPriority w:val="59"/>
    <w:rsid w:val="0017400F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Standardowy"/>
    <w:next w:val="Tabela-Siatka"/>
    <w:uiPriority w:val="59"/>
    <w:rsid w:val="0017400F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Standardowy"/>
    <w:next w:val="Tabela-Siatka"/>
    <w:uiPriority w:val="59"/>
    <w:rsid w:val="0017400F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Standardowy"/>
    <w:next w:val="Tabela-Siatka"/>
    <w:uiPriority w:val="59"/>
    <w:rsid w:val="0017400F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17400F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17400F"/>
    <w:pPr>
      <w:spacing w:after="100"/>
      <w:ind w:left="440"/>
    </w:pPr>
    <w:rPr>
      <w:lang w:val="en-AU"/>
    </w:rPr>
  </w:style>
  <w:style w:type="character" w:styleId="UyteHipercze">
    <w:name w:val="FollowedHyperlink"/>
    <w:basedOn w:val="Domylnaczcionkaakapitu"/>
    <w:uiPriority w:val="99"/>
    <w:semiHidden/>
    <w:unhideWhenUsed/>
    <w:rsid w:val="001660D3"/>
    <w:rPr>
      <w:color w:val="800080" w:themeColor="followedHyperlink"/>
      <w:u w:val="single"/>
    </w:rPr>
  </w:style>
  <w:style w:type="paragraph" w:customStyle="1" w:styleId="Default">
    <w:name w:val="Default"/>
    <w:rsid w:val="00815A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1E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1E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4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1E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F1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40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/>
    </w:rPr>
  </w:style>
  <w:style w:type="paragraph" w:styleId="Akapitzlist">
    <w:name w:val="List Paragraph"/>
    <w:basedOn w:val="Normalny"/>
    <w:uiPriority w:val="34"/>
    <w:qFormat/>
    <w:rsid w:val="002E73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F6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62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aliases w:val="text"/>
    <w:basedOn w:val="Normalny"/>
    <w:link w:val="t"/>
    <w:rsid w:val="00D96414"/>
    <w:pPr>
      <w:spacing w:after="24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">
    <w:name w:val="t"/>
    <w:aliases w:val="text Char,text Char Char"/>
    <w:basedOn w:val="Domylnaczcionkaakapitu"/>
    <w:link w:val="t1"/>
    <w:rsid w:val="00D96414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ipercze">
    <w:name w:val="Hyperlink"/>
    <w:uiPriority w:val="99"/>
    <w:unhideWhenUsed/>
    <w:rsid w:val="0031622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62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62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6227"/>
    <w:rPr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BF1E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BF1EE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F1EE2"/>
    <w:pPr>
      <w:spacing w:after="100"/>
      <w:ind w:left="2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E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E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E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D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D9D"/>
    <w:rPr>
      <w:b/>
      <w:bCs/>
      <w:sz w:val="20"/>
      <w:szCs w:val="20"/>
    </w:rPr>
  </w:style>
  <w:style w:type="table" w:styleId="Jasnecieniowanie">
    <w:name w:val="Light Shading"/>
    <w:basedOn w:val="Standardowy"/>
    <w:uiPriority w:val="60"/>
    <w:rsid w:val="0017400F"/>
    <w:pPr>
      <w:spacing w:after="0" w:line="240" w:lineRule="auto"/>
    </w:pPr>
    <w:rPr>
      <w:color w:val="000000" w:themeColor="text1" w:themeShade="BF"/>
      <w:lang w:val="en-A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17400F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NagwekZnak">
    <w:name w:val="Nagłówek Znak"/>
    <w:basedOn w:val="Domylnaczcionkaakapitu"/>
    <w:link w:val="Nagwek"/>
    <w:uiPriority w:val="99"/>
    <w:rsid w:val="0017400F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17400F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StopkaZnak">
    <w:name w:val="Stopka Znak"/>
    <w:basedOn w:val="Domylnaczcionkaakapitu"/>
    <w:link w:val="Stopka"/>
    <w:uiPriority w:val="99"/>
    <w:rsid w:val="0017400F"/>
    <w:rPr>
      <w:lang w:val="en-AU"/>
    </w:rPr>
  </w:style>
  <w:style w:type="table" w:customStyle="1" w:styleId="TableGrid1">
    <w:name w:val="Table Grid1"/>
    <w:basedOn w:val="Standardowy"/>
    <w:next w:val="Tabela-Siatka"/>
    <w:uiPriority w:val="59"/>
    <w:rsid w:val="0017400F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Standardowy"/>
    <w:next w:val="Tabela-Siatka"/>
    <w:uiPriority w:val="59"/>
    <w:rsid w:val="0017400F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Standardowy"/>
    <w:next w:val="Tabela-Siatka"/>
    <w:uiPriority w:val="59"/>
    <w:rsid w:val="0017400F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Standardowy"/>
    <w:next w:val="Tabela-Siatka"/>
    <w:uiPriority w:val="59"/>
    <w:rsid w:val="0017400F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Standardowy"/>
    <w:next w:val="Tabela-Siatka"/>
    <w:uiPriority w:val="59"/>
    <w:rsid w:val="0017400F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Standardowy"/>
    <w:next w:val="Tabela-Siatka"/>
    <w:uiPriority w:val="59"/>
    <w:rsid w:val="0017400F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Standardowy"/>
    <w:next w:val="Tabela-Siatka"/>
    <w:uiPriority w:val="59"/>
    <w:rsid w:val="0017400F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17400F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17400F"/>
    <w:pPr>
      <w:spacing w:after="100"/>
      <w:ind w:left="440"/>
    </w:pPr>
    <w:rPr>
      <w:lang w:val="en-AU"/>
    </w:rPr>
  </w:style>
  <w:style w:type="character" w:styleId="UyteHipercze">
    <w:name w:val="FollowedHyperlink"/>
    <w:basedOn w:val="Domylnaczcionkaakapitu"/>
    <w:uiPriority w:val="99"/>
    <w:semiHidden/>
    <w:unhideWhenUsed/>
    <w:rsid w:val="001660D3"/>
    <w:rPr>
      <w:color w:val="800080" w:themeColor="followedHyperlink"/>
      <w:u w:val="single"/>
    </w:rPr>
  </w:style>
  <w:style w:type="paragraph" w:customStyle="1" w:styleId="Default">
    <w:name w:val="Default"/>
    <w:rsid w:val="00815A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ur-lex.europa.eu/LexUriServ/LexUriServ.do?uri=OJ:L:2009:076:0017:0044:EN:PDF" TargetMode="External"/><Relationship Id="rId18" Type="http://schemas.openxmlformats.org/officeDocument/2006/relationships/hyperlink" Target="http://ec.europa.eu/environment/gpp/pdf/criteria/indoor_lighting.pdf" TargetMode="External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hyperlink" Target="http://eur-lex.europa.eu/legal-content/EN/TXT/?uri=CELEX:32009R0244" TargetMode="External"/><Relationship Id="rId17" Type="http://schemas.openxmlformats.org/officeDocument/2006/relationships/hyperlink" Target="hhtp://minergie.ch/" TargetMode="External"/><Relationship Id="rId25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hyperlink" Target="http://www.energyrating.gov.au/consultation/consultation-ris-lighting" TargetMode="External"/><Relationship Id="rId20" Type="http://schemas.openxmlformats.org/officeDocument/2006/relationships/image" Target="cid:image001.png@01D25AD3.842237C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sl.iea-4e.org/product-performance/performance-tiers" TargetMode="External"/><Relationship Id="rId24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hyperlink" Target="http://ecodesign-lightsources.eu/" TargetMode="External"/><Relationship Id="rId23" Type="http://schemas.openxmlformats.org/officeDocument/2006/relationships/image" Target="media/image5.png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3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ur-lex.europa.eu/LexUriServ/LexUriServ.do?uri=OJ:L:2012:342:0001:0022:EN:PDF" TargetMode="External"/><Relationship Id="rId22" Type="http://schemas.openxmlformats.org/officeDocument/2006/relationships/image" Target="cid:image002.png@01D25AD3.842237C0" TargetMode="External"/><Relationship Id="rId27" Type="http://schemas.openxmlformats.org/officeDocument/2006/relationships/image" Target="media/image8.png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nvironment/gpp/pdf/criteria/indoor_lighting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259B2-B258-48F1-B67D-06DCC68F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1567</Words>
  <Characters>9402</Characters>
  <Application>Microsoft Office Word</Application>
  <DocSecurity>0</DocSecurity>
  <Lines>78</Lines>
  <Paragraphs>21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Procurement Criteria</vt:lpstr>
      <vt:lpstr>Procurement Criteria</vt:lpstr>
      <vt:lpstr>Procurement Criteria</vt:lpstr>
      <vt:lpstr>Procurement Criteria</vt:lpstr>
    </vt:vector>
  </TitlesOfParts>
  <Company>Energy Saving Trust</Company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Criteria</dc:title>
  <dc:subject>PremiumLightPro</dc:subject>
  <dc:creator>Casper Kofod</dc:creator>
  <cp:lastModifiedBy>Lenovo T440p</cp:lastModifiedBy>
  <cp:revision>2</cp:revision>
  <cp:lastPrinted>2016-08-04T08:11:00Z</cp:lastPrinted>
  <dcterms:created xsi:type="dcterms:W3CDTF">2017-01-09T08:26:00Z</dcterms:created>
  <dcterms:modified xsi:type="dcterms:W3CDTF">2017-01-09T08:26:00Z</dcterms:modified>
</cp:coreProperties>
</file>